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19AF" w14:textId="00DB2BFB" w:rsidR="00786F25" w:rsidRPr="00786F25" w:rsidRDefault="00786F25" w:rsidP="00C12C63">
      <w:pPr>
        <w:pStyle w:val="AnnexHeader"/>
        <w:spacing w:before="0"/>
        <w:rPr>
          <w:color w:val="0000CC"/>
          <w:sz w:val="28"/>
          <w:szCs w:val="28"/>
        </w:rPr>
      </w:pPr>
      <w:bookmarkStart w:id="0" w:name="_Toc149222923"/>
      <w:r w:rsidRPr="00786F25">
        <w:rPr>
          <w:color w:val="0000CC"/>
          <w:sz w:val="28"/>
          <w:szCs w:val="28"/>
          <w:lang w:val="fr-FR"/>
        </w:rPr>
        <w:t>USA COMMENTS IN BLUE FONT </w:t>
      </w:r>
    </w:p>
    <w:p w14:paraId="0BF2A09E" w14:textId="211A2BC6" w:rsidR="00C12C63" w:rsidRPr="006D427B" w:rsidRDefault="00C12C63" w:rsidP="00C12C63">
      <w:pPr>
        <w:pStyle w:val="AnnexHeader"/>
        <w:spacing w:before="0"/>
      </w:pPr>
      <w:r w:rsidRPr="006D427B">
        <w:t xml:space="preserve">Annex </w:t>
      </w:r>
      <w:r w:rsidR="000D56BD">
        <w:t>29</w:t>
      </w:r>
      <w:r w:rsidRPr="006D427B">
        <w:t xml:space="preserve">. Item </w:t>
      </w:r>
      <w:r w:rsidR="00AE5ADA" w:rsidRPr="006D427B">
        <w:t>10.1.3</w:t>
      </w:r>
      <w:r w:rsidRPr="006D427B">
        <w:t xml:space="preserve">. </w:t>
      </w:r>
      <w:bookmarkEnd w:id="0"/>
      <w:r w:rsidRPr="006D427B">
        <w:t>Chapter 2.</w:t>
      </w:r>
      <w:r w:rsidR="00AE5ADA" w:rsidRPr="006D427B">
        <w:t>4.7</w:t>
      </w:r>
      <w:r w:rsidRPr="006D427B">
        <w:t>. ‘Infe</w:t>
      </w:r>
      <w:r w:rsidRPr="006F5C5B">
        <w:t xml:space="preserve">ction with </w:t>
      </w:r>
      <w:r w:rsidR="00AE5ADA" w:rsidRPr="006F5C5B">
        <w:rPr>
          <w:rStyle w:val="Para2Car"/>
          <w:rFonts w:ascii="Arial" w:eastAsia="Yu Gothic Light" w:hAnsi="Arial" w:cs="Arial"/>
          <w:i/>
          <w:iCs w:val="0"/>
          <w:sz w:val="20"/>
        </w:rPr>
        <w:t>Xenohaliotis californiensis</w:t>
      </w:r>
      <w:r w:rsidRPr="006F5C5B">
        <w:rPr>
          <w:i/>
          <w:iCs w:val="0"/>
        </w:rPr>
        <w:t>’</w:t>
      </w:r>
    </w:p>
    <w:p w14:paraId="167DBF99" w14:textId="0BDA1745" w:rsidR="00ED0F29" w:rsidRPr="006D427B" w:rsidRDefault="00ED0F29" w:rsidP="00ED0F29">
      <w:pPr>
        <w:pStyle w:val="Chatperno"/>
      </w:pPr>
      <w:r w:rsidRPr="006D427B">
        <w:t xml:space="preserve">Chapter </w:t>
      </w:r>
      <w:r w:rsidR="00F10D19" w:rsidRPr="006D427B">
        <w:t>2</w:t>
      </w:r>
      <w:r w:rsidRPr="006D427B">
        <w:t>.</w:t>
      </w:r>
      <w:r w:rsidR="00F10D19" w:rsidRPr="006D427B">
        <w:t>4</w:t>
      </w:r>
      <w:r w:rsidRPr="006D427B">
        <w:t>.</w:t>
      </w:r>
      <w:r w:rsidR="00F10D19" w:rsidRPr="006D427B">
        <w:t>7</w:t>
      </w:r>
    </w:p>
    <w:p w14:paraId="3EF6B512" w14:textId="60EEECC0" w:rsidR="00C21DA5" w:rsidRPr="006D427B" w:rsidRDefault="00ED0F29" w:rsidP="00ED0F29">
      <w:pPr>
        <w:pStyle w:val="Chaptertitle"/>
        <w:rPr>
          <w:i/>
          <w:iCs/>
        </w:rPr>
      </w:pPr>
      <w:r w:rsidRPr="006D427B">
        <w:t xml:space="preserve">infection with </w:t>
      </w:r>
      <w:r w:rsidR="00357334" w:rsidRPr="006D427B">
        <w:br/>
      </w:r>
      <w:r w:rsidR="00F10D19" w:rsidRPr="006D427B">
        <w:rPr>
          <w:i/>
          <w:iCs/>
        </w:rPr>
        <w:t>Xenohaliotis Californiensis</w:t>
      </w:r>
    </w:p>
    <w:p w14:paraId="0D965ACE" w14:textId="77777777" w:rsidR="00ED0F29" w:rsidRPr="006D427B" w:rsidRDefault="00ED0F29" w:rsidP="00ED0F29">
      <w:pPr>
        <w:pStyle w:val="10"/>
        <w:rPr>
          <w:lang w:val="en-GB"/>
        </w:rPr>
      </w:pPr>
      <w:r w:rsidRPr="006D427B">
        <w:rPr>
          <w:lang w:val="en-GB"/>
        </w:rPr>
        <w:t>1.</w:t>
      </w:r>
      <w:r w:rsidRPr="006D427B">
        <w:rPr>
          <w:lang w:val="en-GB"/>
        </w:rPr>
        <w:tab/>
        <w:t>Scope</w:t>
      </w:r>
    </w:p>
    <w:p w14:paraId="4E591238" w14:textId="641D42CE" w:rsidR="00F10D19" w:rsidRPr="006D427B" w:rsidRDefault="00F10D19" w:rsidP="00ED0F29">
      <w:pPr>
        <w:pStyle w:val="Para1"/>
        <w:rPr>
          <w:iCs/>
          <w:lang w:val="en-ZA"/>
        </w:rPr>
      </w:pPr>
      <w:r w:rsidRPr="006D427B">
        <w:rPr>
          <w:lang w:val="en-US"/>
        </w:rPr>
        <w:t xml:space="preserve">Infection with </w:t>
      </w:r>
      <w:r w:rsidRPr="006D427B">
        <w:rPr>
          <w:rStyle w:val="Para2Car"/>
          <w:i/>
          <w:iCs/>
        </w:rPr>
        <w:t>Xenohaliotis californiensis</w:t>
      </w:r>
      <w:r w:rsidRPr="006D427B">
        <w:rPr>
          <w:rStyle w:val="Para2Car"/>
        </w:rPr>
        <w:t xml:space="preserve"> </w:t>
      </w:r>
      <w:r w:rsidRPr="006D427B">
        <w:rPr>
          <w:lang w:val="en-US"/>
        </w:rPr>
        <w:t xml:space="preserve">means infection with the pathogenic agent </w:t>
      </w:r>
      <w:r w:rsidRPr="006D427B">
        <w:rPr>
          <w:i/>
          <w:iCs/>
          <w:lang w:val="en-US"/>
        </w:rPr>
        <w:t xml:space="preserve">Candidatus </w:t>
      </w:r>
      <w:r w:rsidRPr="006D427B">
        <w:rPr>
          <w:lang w:val="en-US"/>
        </w:rPr>
        <w:t xml:space="preserve">Xenohaliotis californiensis of the Family </w:t>
      </w:r>
      <w:proofErr w:type="spellStart"/>
      <w:r w:rsidRPr="006D427B">
        <w:rPr>
          <w:lang w:val="en-US"/>
        </w:rPr>
        <w:t>Anaplasmataceae</w:t>
      </w:r>
      <w:proofErr w:type="spellEnd"/>
      <w:r w:rsidR="007C56C8" w:rsidRPr="006D427B">
        <w:rPr>
          <w:i/>
          <w:lang w:val="en-ZA"/>
        </w:rPr>
        <w:t xml:space="preserve">. </w:t>
      </w:r>
      <w:r w:rsidR="00190DAB" w:rsidRPr="006D427B">
        <w:rPr>
          <w:iCs/>
          <w:lang w:val="en-ZA"/>
        </w:rPr>
        <w:t xml:space="preserve">For the purposes of this chapter, the pathogenic agent will be referred to as </w:t>
      </w:r>
      <w:r w:rsidR="00190DAB" w:rsidRPr="006D427B">
        <w:rPr>
          <w:rFonts w:cs="Arial"/>
          <w:i/>
          <w:iCs/>
        </w:rPr>
        <w:t>Xenohaliotis californiensis</w:t>
      </w:r>
      <w:r w:rsidR="00150928" w:rsidRPr="006D427B">
        <w:rPr>
          <w:rFonts w:cs="Arial"/>
          <w:i/>
          <w:iCs/>
        </w:rPr>
        <w:t>.</w:t>
      </w:r>
    </w:p>
    <w:p w14:paraId="0BF4B70A" w14:textId="77777777" w:rsidR="00ED0F29" w:rsidRPr="006D427B" w:rsidRDefault="00ED0F29" w:rsidP="00ED0F29">
      <w:pPr>
        <w:pStyle w:val="10"/>
        <w:rPr>
          <w:lang w:val="en-GB"/>
        </w:rPr>
      </w:pPr>
      <w:r w:rsidRPr="006D427B">
        <w:rPr>
          <w:lang w:val="en-GB"/>
        </w:rPr>
        <w:t>2.</w:t>
      </w:r>
      <w:r w:rsidRPr="006D427B">
        <w:rPr>
          <w:lang w:val="en-GB"/>
        </w:rPr>
        <w:tab/>
        <w:t>Disease information</w:t>
      </w:r>
    </w:p>
    <w:p w14:paraId="6658777C" w14:textId="77777777" w:rsidR="00ED0F29" w:rsidRPr="006D427B" w:rsidRDefault="00ED0F29" w:rsidP="00ED0F29">
      <w:pPr>
        <w:pStyle w:val="110"/>
        <w:tabs>
          <w:tab w:val="left" w:pos="1418"/>
        </w:tabs>
      </w:pPr>
      <w:r w:rsidRPr="006D427B">
        <w:t>2.1.</w:t>
      </w:r>
      <w:r w:rsidRPr="006D427B">
        <w:tab/>
        <w:t>Agent factors</w:t>
      </w:r>
    </w:p>
    <w:p w14:paraId="6AECB160" w14:textId="77777777" w:rsidR="00ED0F29" w:rsidRPr="006D427B" w:rsidRDefault="00ED0F29" w:rsidP="00ED0F29">
      <w:pPr>
        <w:pStyle w:val="1110"/>
        <w:rPr>
          <w:lang w:val="en-IE"/>
        </w:rPr>
      </w:pPr>
      <w:r w:rsidRPr="006D427B">
        <w:rPr>
          <w:lang w:val="en-IE"/>
        </w:rPr>
        <w:t>2.1.1.</w:t>
      </w:r>
      <w:r w:rsidRPr="006D427B">
        <w:rPr>
          <w:lang w:val="en-IE"/>
        </w:rPr>
        <w:tab/>
        <w:t>Aetiological agent</w:t>
      </w:r>
    </w:p>
    <w:p w14:paraId="155DAE35" w14:textId="54049050" w:rsidR="00ED0F29" w:rsidRDefault="75F4D1A2" w:rsidP="00ED0F29">
      <w:pPr>
        <w:pStyle w:val="Para3"/>
        <w:rPr>
          <w:rFonts w:cs="Arial"/>
        </w:rPr>
      </w:pPr>
      <w:r w:rsidRPr="370A01A3">
        <w:rPr>
          <w:rFonts w:cs="Arial"/>
          <w:i/>
          <w:iCs/>
        </w:rPr>
        <w:t>Xenohaliotis californiensis</w:t>
      </w:r>
      <w:r w:rsidRPr="370A01A3">
        <w:rPr>
          <w:rFonts w:cs="Arial"/>
        </w:rPr>
        <w:t xml:space="preserve"> is an intracellular bacterium in the family </w:t>
      </w:r>
      <w:proofErr w:type="spellStart"/>
      <w:r w:rsidRPr="370A01A3">
        <w:rPr>
          <w:rFonts w:cs="Arial"/>
        </w:rPr>
        <w:t>Anaplasmataceae</w:t>
      </w:r>
      <w:proofErr w:type="spellEnd"/>
      <w:r w:rsidRPr="370A01A3">
        <w:rPr>
          <w:rFonts w:cs="Arial"/>
        </w:rPr>
        <w:t xml:space="preserve"> (Dumler </w:t>
      </w:r>
      <w:r w:rsidRPr="370A01A3">
        <w:rPr>
          <w:rFonts w:cs="Arial"/>
          <w:i/>
          <w:iCs/>
        </w:rPr>
        <w:t>et al.,</w:t>
      </w:r>
      <w:r w:rsidRPr="370A01A3">
        <w:rPr>
          <w:rFonts w:cs="Arial"/>
        </w:rPr>
        <w:t xml:space="preserve"> 2001) and is closely related to members of the genera </w:t>
      </w:r>
      <w:proofErr w:type="spellStart"/>
      <w:r w:rsidRPr="370A01A3">
        <w:rPr>
          <w:rFonts w:cs="Arial"/>
          <w:i/>
          <w:iCs/>
        </w:rPr>
        <w:t>Ehrlichia</w:t>
      </w:r>
      <w:proofErr w:type="spellEnd"/>
      <w:r w:rsidRPr="370A01A3">
        <w:rPr>
          <w:rFonts w:cs="Arial"/>
          <w:i/>
          <w:iCs/>
        </w:rPr>
        <w:t xml:space="preserve">, </w:t>
      </w:r>
      <w:proofErr w:type="spellStart"/>
      <w:r w:rsidRPr="370A01A3">
        <w:rPr>
          <w:rFonts w:cs="Arial"/>
          <w:i/>
          <w:iCs/>
        </w:rPr>
        <w:t>Anaplasma</w:t>
      </w:r>
      <w:proofErr w:type="spellEnd"/>
      <w:r w:rsidRPr="370A01A3">
        <w:rPr>
          <w:rFonts w:cs="Arial"/>
        </w:rPr>
        <w:t xml:space="preserve"> and </w:t>
      </w:r>
      <w:proofErr w:type="spellStart"/>
      <w:r w:rsidRPr="370A01A3">
        <w:rPr>
          <w:rFonts w:cs="Arial"/>
          <w:i/>
          <w:iCs/>
        </w:rPr>
        <w:t>Cowdria</w:t>
      </w:r>
      <w:proofErr w:type="spellEnd"/>
      <w:r w:rsidRPr="370A01A3">
        <w:rPr>
          <w:rFonts w:cs="Arial"/>
        </w:rPr>
        <w:t xml:space="preserve"> (Friedman </w:t>
      </w:r>
      <w:r w:rsidRPr="370A01A3">
        <w:rPr>
          <w:rFonts w:cs="Arial"/>
          <w:i/>
          <w:iCs/>
        </w:rPr>
        <w:t>et al.,</w:t>
      </w:r>
      <w:r w:rsidRPr="370A01A3">
        <w:rPr>
          <w:rFonts w:cs="Arial"/>
        </w:rPr>
        <w:t xml:space="preserve"> 2000). The disease caused by this bacterium is known as withering syndrome (Friedman </w:t>
      </w:r>
      <w:r w:rsidRPr="370A01A3">
        <w:rPr>
          <w:rFonts w:cs="Arial"/>
          <w:i/>
          <w:iCs/>
        </w:rPr>
        <w:t>et al.,</w:t>
      </w:r>
      <w:r w:rsidRPr="370A01A3">
        <w:rPr>
          <w:rFonts w:cs="Arial"/>
        </w:rPr>
        <w:t xml:space="preserve"> 2002; Haaker </w:t>
      </w:r>
      <w:r w:rsidRPr="370A01A3">
        <w:rPr>
          <w:rFonts w:cs="Arial"/>
          <w:i/>
          <w:iCs/>
        </w:rPr>
        <w:t>et al.,</w:t>
      </w:r>
      <w:r w:rsidRPr="370A01A3">
        <w:rPr>
          <w:rFonts w:cs="Arial"/>
        </w:rPr>
        <w:t xml:space="preserve"> 1992) </w:t>
      </w:r>
      <w:r w:rsidRPr="00786F25">
        <w:rPr>
          <w:rFonts w:cs="Arial"/>
        </w:rPr>
        <w:t xml:space="preserve">and may be more appropriately termed abalone rickettsiosis. </w:t>
      </w:r>
      <w:r w:rsidR="2957CCDA" w:rsidRPr="370A01A3">
        <w:rPr>
          <w:rFonts w:cs="Arial"/>
        </w:rPr>
        <w:t>Some</w:t>
      </w:r>
      <w:r w:rsidRPr="370A01A3">
        <w:rPr>
          <w:rFonts w:cs="Arial"/>
        </w:rPr>
        <w:t xml:space="preserve"> </w:t>
      </w:r>
      <w:r w:rsidRPr="370A01A3">
        <w:rPr>
          <w:rFonts w:cs="Arial"/>
          <w:i/>
          <w:iCs/>
        </w:rPr>
        <w:t>X.</w:t>
      </w:r>
      <w:r w:rsidR="0FDED957" w:rsidRPr="370A01A3">
        <w:rPr>
          <w:rFonts w:cs="Arial"/>
          <w:i/>
          <w:iCs/>
        </w:rPr>
        <w:t> </w:t>
      </w:r>
      <w:r w:rsidRPr="370A01A3">
        <w:rPr>
          <w:rFonts w:cs="Arial"/>
          <w:i/>
          <w:iCs/>
        </w:rPr>
        <w:t>californiensis</w:t>
      </w:r>
      <w:r w:rsidRPr="370A01A3">
        <w:rPr>
          <w:rFonts w:cs="Arial"/>
        </w:rPr>
        <w:t xml:space="preserve"> may be infected with a phage (Friedman &amp; Crosson, </w:t>
      </w:r>
      <w:r w:rsidR="61EDC7E9" w:rsidRPr="370A01A3">
        <w:rPr>
          <w:rFonts w:cs="Arial"/>
        </w:rPr>
        <w:t>2012</w:t>
      </w:r>
      <w:r w:rsidRPr="370A01A3">
        <w:rPr>
          <w:rFonts w:cs="Arial"/>
        </w:rPr>
        <w:t>). The dimorphic rod-to-spherical-shaped bacterium measures an average of 332 × 1550 nm in the bacillus form and an average of 1405 nm in the spherical morphotype. The bacterium reproduces within intracytoplasmic vacuoles 14–56</w:t>
      </w:r>
      <w:r w:rsidR="6178B088" w:rsidRPr="370A01A3">
        <w:rPr>
          <w:rFonts w:cs="Arial"/>
        </w:rPr>
        <w:t> </w:t>
      </w:r>
      <w:r w:rsidRPr="370A01A3">
        <w:rPr>
          <w:rFonts w:cs="Arial"/>
        </w:rPr>
        <w:t xml:space="preserve">µm in diameter within gastrointestinal epithelia (Friedman </w:t>
      </w:r>
      <w:r w:rsidRPr="370A01A3">
        <w:rPr>
          <w:rFonts w:cs="Arial"/>
          <w:i/>
          <w:iCs/>
        </w:rPr>
        <w:t>et al.,</w:t>
      </w:r>
      <w:r w:rsidRPr="370A01A3">
        <w:rPr>
          <w:rFonts w:cs="Arial"/>
        </w:rPr>
        <w:t xml:space="preserve"> 2000). </w:t>
      </w:r>
    </w:p>
    <w:p w14:paraId="74A95573" w14:textId="77777777" w:rsidR="00ED0F29" w:rsidRPr="006D427B" w:rsidRDefault="00ED0F29" w:rsidP="00ED0F29">
      <w:pPr>
        <w:pStyle w:val="1110"/>
        <w:rPr>
          <w:lang w:val="en-IE"/>
        </w:rPr>
      </w:pPr>
      <w:r w:rsidRPr="006D427B">
        <w:rPr>
          <w:lang w:val="en-IE"/>
        </w:rPr>
        <w:t>2.1.2.</w:t>
      </w:r>
      <w:r w:rsidRPr="006D427B">
        <w:rPr>
          <w:lang w:val="en-IE"/>
        </w:rPr>
        <w:tab/>
        <w:t>Survival and stability in processed or stored samples</w:t>
      </w:r>
    </w:p>
    <w:p w14:paraId="49DE52DB" w14:textId="39E850B3" w:rsidR="00980237" w:rsidRPr="006D427B" w:rsidRDefault="00980237" w:rsidP="00842D05">
      <w:pPr>
        <w:pStyle w:val="Para3"/>
      </w:pPr>
      <w:r w:rsidRPr="006D427B">
        <w:t>As the pathogen has not been cultured the survival and stability in stored samples is unknown.</w:t>
      </w:r>
    </w:p>
    <w:p w14:paraId="78938723" w14:textId="77777777" w:rsidR="00ED0F29" w:rsidRPr="006D427B" w:rsidRDefault="00ED0F29" w:rsidP="00ED0F29">
      <w:pPr>
        <w:pStyle w:val="1110"/>
        <w:rPr>
          <w:lang w:val="en-IE"/>
        </w:rPr>
      </w:pPr>
      <w:r w:rsidRPr="006D427B">
        <w:rPr>
          <w:lang w:val="en-IE"/>
        </w:rPr>
        <w:t>2.1.3.</w:t>
      </w:r>
      <w:r w:rsidRPr="006D427B">
        <w:rPr>
          <w:lang w:val="en-IE"/>
        </w:rPr>
        <w:tab/>
        <w:t xml:space="preserve">Survival and stability outside the host </w:t>
      </w:r>
    </w:p>
    <w:p w14:paraId="1A22BF90" w14:textId="5F33AE2C" w:rsidR="00CA29BE" w:rsidRPr="006D427B" w:rsidRDefault="00CA29BE" w:rsidP="00ED0F29">
      <w:pPr>
        <w:pStyle w:val="Para3"/>
        <w:rPr>
          <w:rFonts w:cs="Arial"/>
          <w:lang w:bidi="en-US"/>
        </w:rPr>
      </w:pPr>
      <w:r w:rsidRPr="370A01A3">
        <w:rPr>
          <w:rFonts w:cs="Arial"/>
          <w:lang w:bidi="en-US"/>
        </w:rPr>
        <w:t xml:space="preserve">Although </w:t>
      </w:r>
      <w:r w:rsidRPr="370A01A3">
        <w:rPr>
          <w:rFonts w:cs="Arial"/>
          <w:i/>
          <w:iCs/>
          <w:lang w:bidi="en-US"/>
        </w:rPr>
        <w:t>X. californiensis</w:t>
      </w:r>
      <w:r w:rsidRPr="370A01A3">
        <w:rPr>
          <w:rFonts w:cs="Arial"/>
          <w:lang w:bidi="en-US"/>
        </w:rPr>
        <w:t xml:space="preserve"> is thought to be an obligate intracellular organism, the bacterium may survive outside the host </w:t>
      </w:r>
      <w:r w:rsidRPr="004636ED">
        <w:rPr>
          <w:rFonts w:cs="Arial"/>
          <w:strike/>
          <w:color w:val="0000CC"/>
          <w:lang w:bidi="en-US"/>
        </w:rPr>
        <w:t xml:space="preserve">for an undetermined </w:t>
      </w:r>
      <w:proofErr w:type="gramStart"/>
      <w:r w:rsidRPr="004636ED">
        <w:rPr>
          <w:rFonts w:cs="Arial"/>
          <w:strike/>
          <w:color w:val="0000CC"/>
          <w:lang w:bidi="en-US"/>
        </w:rPr>
        <w:t>period of time</w:t>
      </w:r>
      <w:proofErr w:type="gramEnd"/>
      <w:r w:rsidRPr="370A01A3">
        <w:rPr>
          <w:rFonts w:cs="Arial"/>
          <w:lang w:bidi="en-US"/>
        </w:rPr>
        <w:t xml:space="preserve"> as evidenced by water-borne transmission studies (Balseiro </w:t>
      </w:r>
      <w:r w:rsidR="0082302B" w:rsidRPr="370A01A3">
        <w:rPr>
          <w:rFonts w:cs="Arial"/>
          <w:i/>
          <w:iCs/>
          <w:lang w:bidi="en-US"/>
        </w:rPr>
        <w:t>et al</w:t>
      </w:r>
      <w:r w:rsidRPr="370A01A3">
        <w:rPr>
          <w:rFonts w:cs="Arial"/>
          <w:lang w:bidi="en-US"/>
        </w:rPr>
        <w:t xml:space="preserve">., 2006; Braid </w:t>
      </w:r>
      <w:r w:rsidR="0082302B" w:rsidRPr="370A01A3">
        <w:rPr>
          <w:rFonts w:cs="Arial"/>
          <w:i/>
          <w:iCs/>
          <w:lang w:bidi="en-US"/>
        </w:rPr>
        <w:t>et al</w:t>
      </w:r>
      <w:r w:rsidRPr="370A01A3">
        <w:rPr>
          <w:rFonts w:cs="Arial"/>
          <w:lang w:bidi="en-US"/>
        </w:rPr>
        <w:t xml:space="preserve">., 2005; Friedman </w:t>
      </w:r>
      <w:r w:rsidR="0082302B" w:rsidRPr="370A01A3">
        <w:rPr>
          <w:rFonts w:cs="Arial"/>
          <w:i/>
          <w:iCs/>
          <w:lang w:bidi="en-US"/>
        </w:rPr>
        <w:t>et al</w:t>
      </w:r>
      <w:r w:rsidRPr="370A01A3">
        <w:rPr>
          <w:rFonts w:cs="Arial"/>
          <w:lang w:bidi="en-US"/>
        </w:rPr>
        <w:t xml:space="preserve">., 2002; 2007; Rosenblum </w:t>
      </w:r>
      <w:r w:rsidR="0082302B" w:rsidRPr="370A01A3">
        <w:rPr>
          <w:rFonts w:cs="Arial"/>
          <w:i/>
          <w:iCs/>
          <w:lang w:bidi="en-US"/>
        </w:rPr>
        <w:t>et al</w:t>
      </w:r>
      <w:r w:rsidRPr="370A01A3">
        <w:rPr>
          <w:rFonts w:cs="Arial"/>
          <w:lang w:bidi="en-US"/>
        </w:rPr>
        <w:t xml:space="preserve">., 2008). </w:t>
      </w:r>
    </w:p>
    <w:p w14:paraId="0A3E3959" w14:textId="77777777" w:rsidR="00756DDC" w:rsidRPr="004636ED" w:rsidRDefault="00ED0F29" w:rsidP="00765166">
      <w:pPr>
        <w:pStyle w:val="Para3"/>
        <w:rPr>
          <w:rFonts w:cs="Arial"/>
          <w:strike/>
          <w:color w:val="0000CC"/>
        </w:rPr>
      </w:pPr>
      <w:r w:rsidRPr="004636ED">
        <w:rPr>
          <w:rFonts w:cs="Arial"/>
          <w:strike/>
          <w:color w:val="0000CC"/>
        </w:rPr>
        <w:t>For inactivation methods, see Section 2.4.5.</w:t>
      </w:r>
    </w:p>
    <w:p w14:paraId="68BE746D" w14:textId="77777777" w:rsidR="00531BB8" w:rsidRDefault="00F2544B"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 xml:space="preserve">Category: </w:t>
      </w:r>
      <w:r w:rsidRPr="00F2544B">
        <w:rPr>
          <w:rFonts w:cs="Arial"/>
          <w:lang w:val="en-US"/>
        </w:rPr>
        <w:t>[addition, deletion, change, editorial, general] </w:t>
      </w:r>
    </w:p>
    <w:p w14:paraId="3AA94B07" w14:textId="6AE83176" w:rsidR="00F2544B" w:rsidRPr="00F2544B" w:rsidRDefault="00F2544B"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531BB8">
        <w:rPr>
          <w:rFonts w:cs="Arial"/>
          <w:lang w:val="en-US"/>
        </w:rPr>
        <w:t>Deletion</w:t>
      </w:r>
    </w:p>
    <w:p w14:paraId="0BB0108E" w14:textId="244B0E35" w:rsidR="00F2544B" w:rsidRPr="00F2544B" w:rsidRDefault="00F2544B"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p>
    <w:p w14:paraId="7C77D639" w14:textId="77777777" w:rsidR="00F2544B" w:rsidRPr="00F2544B" w:rsidRDefault="00F2544B"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Proposed amended texts (or precise suggested deletion):</w:t>
      </w:r>
      <w:r w:rsidRPr="00F2544B">
        <w:rPr>
          <w:rFonts w:cs="Arial"/>
          <w:lang w:val="en-US"/>
        </w:rPr>
        <w:t> </w:t>
      </w:r>
    </w:p>
    <w:p w14:paraId="1C624338" w14:textId="72CF04BA" w:rsidR="00F2544B" w:rsidRPr="00F2544B" w:rsidRDefault="00393CF8"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Please see specific edit</w:t>
      </w:r>
      <w:r w:rsidR="00786F25">
        <w:rPr>
          <w:rFonts w:cs="Arial"/>
          <w:lang w:val="en-US"/>
        </w:rPr>
        <w:t>s</w:t>
      </w:r>
      <w:r>
        <w:rPr>
          <w:rFonts w:cs="Arial"/>
          <w:lang w:val="en-US"/>
        </w:rPr>
        <w:t xml:space="preserve"> in blue above</w:t>
      </w:r>
      <w:r w:rsidR="00786F25">
        <w:rPr>
          <w:rFonts w:cs="Arial"/>
          <w:lang w:val="en-US"/>
        </w:rPr>
        <w:t xml:space="preserve"> to </w:t>
      </w:r>
      <w:r w:rsidR="001E75B6">
        <w:rPr>
          <w:rFonts w:cs="Arial"/>
          <w:lang w:val="en-US"/>
        </w:rPr>
        <w:t>2.1.3.</w:t>
      </w:r>
    </w:p>
    <w:p w14:paraId="00B96E39" w14:textId="77777777" w:rsidR="00F2544B" w:rsidRPr="00F2544B" w:rsidRDefault="00F2544B"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lang w:val="en-US"/>
        </w:rPr>
        <w:t> </w:t>
      </w:r>
    </w:p>
    <w:p w14:paraId="64C640FE" w14:textId="77777777" w:rsidR="00F2544B" w:rsidRPr="00F2544B" w:rsidRDefault="00F2544B"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Rationale:</w:t>
      </w:r>
      <w:r w:rsidRPr="00F2544B">
        <w:rPr>
          <w:rFonts w:cs="Arial"/>
          <w:lang w:val="en-US"/>
        </w:rPr>
        <w:t> </w:t>
      </w:r>
    </w:p>
    <w:p w14:paraId="24B84AA2" w14:textId="07D7A530" w:rsidR="00F2544B" w:rsidRPr="00F2544B" w:rsidRDefault="00393CF8"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 xml:space="preserve">We request these deletions because there is no information to date </w:t>
      </w:r>
      <w:r w:rsidR="004636ED">
        <w:rPr>
          <w:rFonts w:cs="Arial"/>
          <w:lang w:val="en-US"/>
        </w:rPr>
        <w:t xml:space="preserve">regarding vector involvement for this pathogen of concern. </w:t>
      </w:r>
    </w:p>
    <w:p w14:paraId="133F5768" w14:textId="5CDC3550" w:rsidR="00F2544B" w:rsidRPr="00F2544B" w:rsidRDefault="00F2544B" w:rsidP="00531BB8">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lang w:val="en-US"/>
        </w:rPr>
        <w:t> </w:t>
      </w:r>
    </w:p>
    <w:p w14:paraId="36C56C56" w14:textId="77777777" w:rsidR="00F2544B" w:rsidRPr="00F2544B" w:rsidRDefault="00F2544B" w:rsidP="00765166">
      <w:pPr>
        <w:pStyle w:val="Para3"/>
        <w:rPr>
          <w:rFonts w:cs="Arial"/>
          <w:strike/>
          <w:lang w:val="en-US"/>
        </w:rPr>
      </w:pPr>
    </w:p>
    <w:p w14:paraId="1484D11F" w14:textId="65084B50" w:rsidR="00ED0F29" w:rsidRPr="006D427B" w:rsidRDefault="00ED0F29" w:rsidP="00756DDC">
      <w:pPr>
        <w:pStyle w:val="110"/>
      </w:pPr>
      <w:r w:rsidRPr="006D427B">
        <w:t>2.2.</w:t>
      </w:r>
      <w:r w:rsidRPr="006D427B">
        <w:tab/>
        <w:t>Host factors</w:t>
      </w:r>
    </w:p>
    <w:p w14:paraId="514210AC" w14:textId="6DC56BF4" w:rsidR="007F76E0" w:rsidRPr="006D427B" w:rsidRDefault="007F76E0" w:rsidP="00756DDC">
      <w:pPr>
        <w:pStyle w:val="1110"/>
        <w:ind w:left="567" w:firstLine="0"/>
        <w:jc w:val="center"/>
        <w:rPr>
          <w:u w:val="single"/>
          <w:lang w:val="en-IE"/>
        </w:rPr>
      </w:pPr>
      <w:r w:rsidRPr="006D427B">
        <w:rPr>
          <w:u w:val="single"/>
          <w:lang w:val="en-IE"/>
        </w:rPr>
        <w:lastRenderedPageBreak/>
        <w:t>NB: Sections 2.2.1 and 2.2.2 are not for Member comment. Version for comment and adoption are presented in Annex 27</w:t>
      </w:r>
    </w:p>
    <w:p w14:paraId="465746DC" w14:textId="3740EFF3" w:rsidR="00ED0F29" w:rsidRPr="003237BE" w:rsidRDefault="00ED0F29" w:rsidP="00ED0F29">
      <w:pPr>
        <w:pStyle w:val="1110"/>
        <w:rPr>
          <w:strike/>
          <w:highlight w:val="darkGray"/>
          <w:lang w:val="en-IE"/>
        </w:rPr>
      </w:pPr>
      <w:r w:rsidRPr="003237BE">
        <w:rPr>
          <w:strike/>
          <w:highlight w:val="darkGray"/>
          <w:lang w:val="en-IE"/>
        </w:rPr>
        <w:t>2.2.1.</w:t>
      </w:r>
      <w:r w:rsidRPr="003237BE">
        <w:rPr>
          <w:strike/>
          <w:highlight w:val="darkGray"/>
          <w:lang w:val="en-IE"/>
        </w:rPr>
        <w:tab/>
        <w:t xml:space="preserve">Susceptible host species </w:t>
      </w:r>
    </w:p>
    <w:p w14:paraId="1D465365" w14:textId="3FF59C96" w:rsidR="00ED0F29" w:rsidRPr="003237BE" w:rsidRDefault="00155F29" w:rsidP="00ED0F29">
      <w:pPr>
        <w:pStyle w:val="Para3"/>
        <w:rPr>
          <w:rFonts w:cs="Arial"/>
          <w:strike/>
          <w:highlight w:val="darkGray"/>
        </w:rPr>
      </w:pPr>
      <w:r w:rsidRPr="003237BE">
        <w:rPr>
          <w:rFonts w:cs="Arial"/>
          <w:strike/>
          <w:highlight w:val="darkGray"/>
          <w:lang w:val="en-ZA"/>
        </w:rPr>
        <w:t xml:space="preserve">Species that fulfil the criteria for listing as susceptible to infection with </w:t>
      </w:r>
      <w:r w:rsidRPr="003237BE">
        <w:rPr>
          <w:rFonts w:cs="Arial"/>
          <w:i/>
          <w:iCs/>
          <w:strike/>
          <w:highlight w:val="darkGray"/>
          <w:lang w:val="en-ZA"/>
        </w:rPr>
        <w:t>Xenohaliotis</w:t>
      </w:r>
      <w:r w:rsidRPr="003237BE">
        <w:rPr>
          <w:rFonts w:cs="Arial"/>
          <w:strike/>
          <w:highlight w:val="darkGray"/>
          <w:lang w:val="en-ZA"/>
        </w:rPr>
        <w:t xml:space="preserve"> </w:t>
      </w:r>
      <w:r w:rsidRPr="003237BE">
        <w:rPr>
          <w:rFonts w:cs="Arial"/>
          <w:i/>
          <w:iCs/>
          <w:strike/>
          <w:highlight w:val="darkGray"/>
          <w:lang w:val="en-ZA"/>
        </w:rPr>
        <w:t>californiensis</w:t>
      </w:r>
      <w:r w:rsidRPr="003237BE">
        <w:rPr>
          <w:rFonts w:cs="Arial"/>
          <w:strike/>
          <w:highlight w:val="darkGray"/>
          <w:lang w:val="en-ZA"/>
        </w:rPr>
        <w:t xml:space="preserve"> according to Chapter 1.5. of the </w:t>
      </w:r>
      <w:r w:rsidRPr="003237BE">
        <w:rPr>
          <w:rFonts w:cs="Arial"/>
          <w:i/>
          <w:iCs/>
          <w:strike/>
          <w:highlight w:val="darkGray"/>
          <w:lang w:val="en-ZA"/>
        </w:rPr>
        <w:t xml:space="preserve">Aquatic Animal Health Code </w:t>
      </w:r>
      <w:r w:rsidRPr="003237BE">
        <w:rPr>
          <w:rFonts w:cs="Arial"/>
          <w:strike/>
          <w:highlight w:val="darkGray"/>
          <w:lang w:val="en-ZA"/>
        </w:rPr>
        <w:t>(</w:t>
      </w:r>
      <w:r w:rsidRPr="003237BE">
        <w:rPr>
          <w:rFonts w:cs="Arial"/>
          <w:i/>
          <w:iCs/>
          <w:strike/>
          <w:highlight w:val="darkGray"/>
          <w:lang w:val="en-ZA"/>
        </w:rPr>
        <w:t>Aquatic Code</w:t>
      </w:r>
      <w:r w:rsidRPr="003237BE">
        <w:rPr>
          <w:rFonts w:cs="Arial"/>
          <w:strike/>
          <w:highlight w:val="darkGray"/>
          <w:lang w:val="en-ZA"/>
        </w:rPr>
        <w:t>) are:</w:t>
      </w:r>
    </w:p>
    <w:tbl>
      <w:tblPr>
        <w:tblW w:w="8214"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9"/>
        <w:gridCol w:w="3899"/>
        <w:gridCol w:w="3036"/>
      </w:tblGrid>
      <w:tr w:rsidR="00437CE1" w:rsidRPr="003237BE" w14:paraId="01427328" w14:textId="77777777" w:rsidTr="0082302B">
        <w:trPr>
          <w:trHeight w:val="300"/>
          <w:tblHeader/>
        </w:trPr>
        <w:tc>
          <w:tcPr>
            <w:tcW w:w="1279" w:type="dxa"/>
            <w:tcBorders>
              <w:top w:val="single" w:sz="6" w:space="0" w:color="auto"/>
              <w:left w:val="single" w:sz="6" w:space="0" w:color="auto"/>
              <w:bottom w:val="single" w:sz="6" w:space="0" w:color="auto"/>
              <w:right w:val="single" w:sz="6" w:space="0" w:color="auto"/>
            </w:tcBorders>
            <w:shd w:val="clear" w:color="auto" w:fill="auto"/>
            <w:hideMark/>
          </w:tcPr>
          <w:p w14:paraId="48F82063" w14:textId="4C850A39" w:rsidR="00155F29" w:rsidRPr="003237BE" w:rsidRDefault="00155F29" w:rsidP="00E64E4E">
            <w:pPr>
              <w:pStyle w:val="Para3"/>
              <w:spacing w:before="120" w:after="120"/>
              <w:ind w:left="2"/>
              <w:jc w:val="center"/>
              <w:rPr>
                <w:b/>
                <w:bCs w:val="0"/>
                <w:strike/>
                <w:highlight w:val="darkGray"/>
                <w:lang w:val="en-ZA"/>
              </w:rPr>
            </w:pPr>
            <w:r w:rsidRPr="003237BE">
              <w:rPr>
                <w:b/>
                <w:bCs w:val="0"/>
                <w:strike/>
                <w:highlight w:val="darkGray"/>
                <w:lang w:val="en-US"/>
              </w:rPr>
              <w:t>Family</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14:paraId="71FF5858" w14:textId="59984CAC" w:rsidR="00155F29" w:rsidRPr="003237BE" w:rsidRDefault="00155F29" w:rsidP="00E64E4E">
            <w:pPr>
              <w:pStyle w:val="Para3"/>
              <w:spacing w:before="120" w:after="120"/>
              <w:ind w:left="38"/>
              <w:jc w:val="center"/>
              <w:rPr>
                <w:b/>
                <w:bCs w:val="0"/>
                <w:strike/>
                <w:highlight w:val="darkGray"/>
                <w:lang w:val="en-ZA"/>
              </w:rPr>
            </w:pPr>
            <w:r w:rsidRPr="003237BE">
              <w:rPr>
                <w:b/>
                <w:bCs w:val="0"/>
                <w:strike/>
                <w:highlight w:val="darkGray"/>
                <w:lang w:val="en-US"/>
              </w:rPr>
              <w:t>Scientific name</w:t>
            </w:r>
          </w:p>
        </w:tc>
        <w:tc>
          <w:tcPr>
            <w:tcW w:w="3036" w:type="dxa"/>
            <w:tcBorders>
              <w:top w:val="single" w:sz="6" w:space="0" w:color="auto"/>
              <w:left w:val="single" w:sz="6" w:space="0" w:color="auto"/>
              <w:bottom w:val="single" w:sz="6" w:space="0" w:color="auto"/>
              <w:right w:val="single" w:sz="6" w:space="0" w:color="auto"/>
            </w:tcBorders>
            <w:shd w:val="clear" w:color="auto" w:fill="auto"/>
            <w:hideMark/>
          </w:tcPr>
          <w:p w14:paraId="6BED14C3" w14:textId="27E51584" w:rsidR="00155F29" w:rsidRPr="003237BE" w:rsidRDefault="00155F29" w:rsidP="00E64E4E">
            <w:pPr>
              <w:pStyle w:val="Para3"/>
              <w:spacing w:before="120" w:after="120"/>
              <w:ind w:left="9"/>
              <w:jc w:val="center"/>
              <w:rPr>
                <w:b/>
                <w:bCs w:val="0"/>
                <w:strike/>
                <w:highlight w:val="darkGray"/>
                <w:lang w:val="en-ZA"/>
              </w:rPr>
            </w:pPr>
            <w:r w:rsidRPr="003237BE">
              <w:rPr>
                <w:b/>
                <w:bCs w:val="0"/>
                <w:strike/>
                <w:highlight w:val="darkGray"/>
                <w:lang w:val="en-US"/>
              </w:rPr>
              <w:t>Common name</w:t>
            </w:r>
          </w:p>
        </w:tc>
      </w:tr>
      <w:tr w:rsidR="00155F29" w:rsidRPr="003237BE" w14:paraId="30E3C142" w14:textId="77777777" w:rsidTr="0082302B">
        <w:trPr>
          <w:trHeight w:val="300"/>
        </w:trPr>
        <w:tc>
          <w:tcPr>
            <w:tcW w:w="127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D4871D0" w14:textId="26E5FD7B" w:rsidR="00155F29" w:rsidRPr="003237BE" w:rsidRDefault="00155F29" w:rsidP="0082302B">
            <w:pPr>
              <w:pStyle w:val="Para3"/>
              <w:spacing w:before="60" w:after="60"/>
              <w:ind w:left="2"/>
              <w:jc w:val="center"/>
              <w:rPr>
                <w:strike/>
                <w:highlight w:val="darkGray"/>
                <w:lang w:val="en-ZA"/>
              </w:rPr>
            </w:pPr>
            <w:proofErr w:type="spellStart"/>
            <w:r w:rsidRPr="003237BE">
              <w:rPr>
                <w:strike/>
                <w:highlight w:val="darkGray"/>
                <w:lang w:val="fr-FR"/>
              </w:rPr>
              <w:t>Haliotidae</w:t>
            </w:r>
            <w:proofErr w:type="spellEnd"/>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31FD1" w14:textId="42C24FBB"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corrugata</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85F7B" w14:textId="1A77268C"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pink</w:t>
            </w:r>
            <w:proofErr w:type="spellEnd"/>
            <w:proofErr w:type="gramEnd"/>
            <w:r w:rsidRPr="003237BE">
              <w:rPr>
                <w:strike/>
                <w:highlight w:val="darkGray"/>
                <w:lang w:val="fr-FR"/>
              </w:rPr>
              <w:t xml:space="preserve"> abalone</w:t>
            </w:r>
          </w:p>
        </w:tc>
      </w:tr>
      <w:tr w:rsidR="00155F29" w:rsidRPr="003237BE" w14:paraId="68DD1F8B"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79D712"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C9C10" w14:textId="33798C54"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cracherodii</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BF971" w14:textId="680E882C" w:rsidR="00155F29" w:rsidRPr="003237BE" w:rsidRDefault="00155F29" w:rsidP="0082302B">
            <w:pPr>
              <w:pStyle w:val="Para3"/>
              <w:spacing w:before="60" w:after="60"/>
              <w:ind w:left="9"/>
              <w:jc w:val="center"/>
              <w:rPr>
                <w:strike/>
                <w:highlight w:val="darkGray"/>
                <w:lang w:val="en-ZA"/>
              </w:rPr>
            </w:pPr>
            <w:proofErr w:type="gramStart"/>
            <w:r w:rsidRPr="003237BE">
              <w:rPr>
                <w:strike/>
                <w:highlight w:val="darkGray"/>
                <w:lang w:val="fr-FR"/>
              </w:rPr>
              <w:t>black</w:t>
            </w:r>
            <w:proofErr w:type="gramEnd"/>
            <w:r w:rsidRPr="003237BE">
              <w:rPr>
                <w:strike/>
                <w:highlight w:val="darkGray"/>
                <w:lang w:val="fr-FR"/>
              </w:rPr>
              <w:t xml:space="preserve"> abalone</w:t>
            </w:r>
          </w:p>
        </w:tc>
      </w:tr>
      <w:tr w:rsidR="00155F29" w:rsidRPr="003237BE" w14:paraId="52E5D965"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0FF9E1"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1F32C" w14:textId="590952B9"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discus</w:t>
            </w:r>
            <w:proofErr w:type="spellEnd"/>
            <w:r w:rsidRPr="003237BE">
              <w:rPr>
                <w:i/>
                <w:iCs/>
                <w:strike/>
                <w:highlight w:val="darkGray"/>
                <w:lang w:val="fr-FR"/>
              </w:rPr>
              <w:t xml:space="preserve"> </w:t>
            </w:r>
            <w:proofErr w:type="spellStart"/>
            <w:r w:rsidRPr="003237BE">
              <w:rPr>
                <w:i/>
                <w:iCs/>
                <w:strike/>
                <w:highlight w:val="darkGray"/>
                <w:lang w:val="fr-FR"/>
              </w:rPr>
              <w:t>discus</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0AAEEF" w14:textId="108AEC7C" w:rsidR="00155F29" w:rsidRPr="003237BE" w:rsidRDefault="00155F29" w:rsidP="0082302B">
            <w:pPr>
              <w:pStyle w:val="Para3"/>
              <w:spacing w:before="60" w:after="60"/>
              <w:ind w:left="9"/>
              <w:jc w:val="center"/>
              <w:rPr>
                <w:strike/>
                <w:highlight w:val="darkGray"/>
                <w:lang w:val="en-ZA"/>
              </w:rPr>
            </w:pPr>
            <w:proofErr w:type="spellStart"/>
            <w:r w:rsidRPr="003237BE">
              <w:rPr>
                <w:strike/>
                <w:highlight w:val="darkGray"/>
                <w:lang w:val="fr-FR"/>
              </w:rPr>
              <w:t>Japanese</w:t>
            </w:r>
            <w:proofErr w:type="spellEnd"/>
            <w:r w:rsidRPr="003237BE">
              <w:rPr>
                <w:strike/>
                <w:highlight w:val="darkGray"/>
                <w:lang w:val="fr-FR"/>
              </w:rPr>
              <w:t xml:space="preserve"> abalone</w:t>
            </w:r>
          </w:p>
        </w:tc>
      </w:tr>
      <w:tr w:rsidR="00155F29" w:rsidRPr="003237BE" w14:paraId="22B384B2"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D1D7F9"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754F5" w14:textId="55B765BD"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diversicolor</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30B40" w14:textId="3C9F051F"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small</w:t>
            </w:r>
            <w:proofErr w:type="spellEnd"/>
            <w:proofErr w:type="gramEnd"/>
            <w:r w:rsidRPr="003237BE">
              <w:rPr>
                <w:strike/>
                <w:highlight w:val="darkGray"/>
                <w:lang w:val="fr-FR"/>
              </w:rPr>
              <w:t xml:space="preserve"> abalone</w:t>
            </w:r>
          </w:p>
        </w:tc>
      </w:tr>
      <w:tr w:rsidR="00155F29" w:rsidRPr="003237BE" w14:paraId="02AC0D5C"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F6709C"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B099C" w14:textId="77C6D807"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fulgens</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C5F98" w14:textId="3B945951" w:rsidR="00155F29" w:rsidRPr="003237BE" w:rsidRDefault="00155F29" w:rsidP="0082302B">
            <w:pPr>
              <w:pStyle w:val="Para3"/>
              <w:spacing w:before="60" w:after="60"/>
              <w:ind w:left="9"/>
              <w:jc w:val="center"/>
              <w:rPr>
                <w:strike/>
                <w:highlight w:val="darkGray"/>
                <w:lang w:val="en-ZA"/>
              </w:rPr>
            </w:pPr>
            <w:proofErr w:type="gramStart"/>
            <w:r w:rsidRPr="003237BE">
              <w:rPr>
                <w:strike/>
                <w:highlight w:val="darkGray"/>
                <w:lang w:val="fr-FR"/>
              </w:rPr>
              <w:t>green</w:t>
            </w:r>
            <w:proofErr w:type="gramEnd"/>
            <w:r w:rsidRPr="003237BE">
              <w:rPr>
                <w:strike/>
                <w:highlight w:val="darkGray"/>
                <w:lang w:val="fr-FR"/>
              </w:rPr>
              <w:t xml:space="preserve"> abalone</w:t>
            </w:r>
          </w:p>
        </w:tc>
      </w:tr>
      <w:tr w:rsidR="00155F29" w:rsidRPr="003237BE" w14:paraId="2DD35770"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892C4F"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59AC9" w14:textId="225A729D"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kamtschatkana</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FD175" w14:textId="45335736"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pinto</w:t>
            </w:r>
            <w:proofErr w:type="spellEnd"/>
            <w:proofErr w:type="gramEnd"/>
            <w:r w:rsidRPr="003237BE">
              <w:rPr>
                <w:strike/>
                <w:highlight w:val="darkGray"/>
                <w:lang w:val="fr-FR"/>
              </w:rPr>
              <w:t xml:space="preserve"> abalone</w:t>
            </w:r>
          </w:p>
        </w:tc>
      </w:tr>
      <w:tr w:rsidR="00155F29" w:rsidRPr="003237BE" w14:paraId="319F5965"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CE26AD"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AE7D29" w14:textId="02EBC46F"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rufescens</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45E38" w14:textId="5DA583D7"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red</w:t>
            </w:r>
            <w:proofErr w:type="spellEnd"/>
            <w:proofErr w:type="gramEnd"/>
            <w:r w:rsidRPr="003237BE">
              <w:rPr>
                <w:strike/>
                <w:highlight w:val="darkGray"/>
                <w:lang w:val="fr-FR"/>
              </w:rPr>
              <w:t xml:space="preserve"> abalone</w:t>
            </w:r>
          </w:p>
        </w:tc>
      </w:tr>
      <w:tr w:rsidR="00155F29" w:rsidRPr="00A41BA5" w14:paraId="0FAADCF0"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35435E"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65886" w14:textId="29DB902C" w:rsidR="00155F29" w:rsidRPr="003237BE" w:rsidRDefault="00155F29" w:rsidP="0082302B">
            <w:pPr>
              <w:pStyle w:val="Para3"/>
              <w:spacing w:before="60" w:after="60"/>
              <w:ind w:left="38"/>
              <w:jc w:val="center"/>
              <w:rPr>
                <w:strike/>
                <w:highlight w:val="darkGray"/>
                <w:lang w:val="fr-FR"/>
              </w:rPr>
            </w:pPr>
            <w:r w:rsidRPr="003237BE">
              <w:rPr>
                <w:i/>
                <w:iCs/>
                <w:strike/>
                <w:highlight w:val="darkGray"/>
                <w:lang w:val="fr-FR"/>
              </w:rPr>
              <w:t xml:space="preserve">Haliotis </w:t>
            </w:r>
            <w:proofErr w:type="spellStart"/>
            <w:r w:rsidRPr="003237BE">
              <w:rPr>
                <w:i/>
                <w:iCs/>
                <w:strike/>
                <w:highlight w:val="darkGray"/>
                <w:lang w:val="fr-FR"/>
              </w:rPr>
              <w:t>rufescens</w:t>
            </w:r>
            <w:proofErr w:type="spellEnd"/>
            <w:r w:rsidRPr="003237BE">
              <w:rPr>
                <w:strike/>
                <w:highlight w:val="darkGray"/>
                <w:lang w:val="fr-FR"/>
              </w:rPr>
              <w:t xml:space="preserve"> X </w:t>
            </w:r>
            <w:r w:rsidRPr="003237BE">
              <w:rPr>
                <w:i/>
                <w:iCs/>
                <w:strike/>
                <w:highlight w:val="darkGray"/>
                <w:lang w:val="fr-FR"/>
              </w:rPr>
              <w:t xml:space="preserve">Haliotis </w:t>
            </w:r>
            <w:proofErr w:type="spellStart"/>
            <w:r w:rsidRPr="003237BE">
              <w:rPr>
                <w:i/>
                <w:iCs/>
                <w:strike/>
                <w:highlight w:val="darkGray"/>
                <w:lang w:val="fr-FR"/>
              </w:rPr>
              <w:t>discus</w:t>
            </w:r>
            <w:proofErr w:type="spellEnd"/>
            <w:r w:rsidRPr="003237BE">
              <w:rPr>
                <w:i/>
                <w:iCs/>
                <w:strike/>
                <w:highlight w:val="darkGray"/>
                <w:lang w:val="fr-FR"/>
              </w:rPr>
              <w:t xml:space="preserve"> </w:t>
            </w:r>
            <w:proofErr w:type="spellStart"/>
            <w:r w:rsidRPr="003237BE">
              <w:rPr>
                <w:i/>
                <w:iCs/>
                <w:strike/>
                <w:highlight w:val="darkGray"/>
                <w:lang w:val="fr-FR"/>
              </w:rPr>
              <w:t>hannai</w:t>
            </w:r>
            <w:proofErr w:type="spellEnd"/>
            <w:r w:rsidRPr="003237BE">
              <w:rPr>
                <w:i/>
                <w:iCs/>
                <w:strike/>
                <w:highlight w:val="darkGray"/>
                <w:lang w:val="fr-FR"/>
              </w:rPr>
              <w:t xml:space="preserve"> </w:t>
            </w:r>
            <w:proofErr w:type="spellStart"/>
            <w:r w:rsidRPr="003237BE">
              <w:rPr>
                <w:strike/>
                <w:highlight w:val="darkGray"/>
                <w:lang w:val="fr-FR"/>
              </w:rPr>
              <w:t>hybrid</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ECB52" w14:textId="31BFA50D" w:rsidR="00155F29" w:rsidRPr="003237BE" w:rsidRDefault="00155F29" w:rsidP="0082302B">
            <w:pPr>
              <w:pStyle w:val="Para3"/>
              <w:spacing w:before="60" w:after="60"/>
              <w:ind w:left="9"/>
              <w:jc w:val="center"/>
              <w:rPr>
                <w:strike/>
                <w:highlight w:val="darkGray"/>
                <w:lang w:val="en-ZA"/>
              </w:rPr>
            </w:pPr>
            <w:r w:rsidRPr="003237BE">
              <w:rPr>
                <w:strike/>
                <w:highlight w:val="darkGray"/>
                <w:lang w:val="en-US"/>
              </w:rPr>
              <w:t>hybrid red and Japanese abalone</w:t>
            </w:r>
          </w:p>
        </w:tc>
      </w:tr>
      <w:tr w:rsidR="00155F29" w:rsidRPr="003237BE" w14:paraId="70E62B18"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EA95FE"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8EA98" w14:textId="6736A427"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sorenseni</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CA157" w14:textId="202BA450" w:rsidR="00155F29" w:rsidRPr="003237BE" w:rsidRDefault="00155F29" w:rsidP="0082302B">
            <w:pPr>
              <w:pStyle w:val="Para3"/>
              <w:spacing w:before="60" w:after="60"/>
              <w:ind w:left="9"/>
              <w:jc w:val="center"/>
              <w:rPr>
                <w:strike/>
                <w:highlight w:val="darkGray"/>
                <w:lang w:val="en-ZA"/>
              </w:rPr>
            </w:pPr>
            <w:proofErr w:type="gramStart"/>
            <w:r w:rsidRPr="003237BE">
              <w:rPr>
                <w:strike/>
                <w:highlight w:val="darkGray"/>
                <w:lang w:val="fr-FR"/>
              </w:rPr>
              <w:t>white</w:t>
            </w:r>
            <w:proofErr w:type="gramEnd"/>
            <w:r w:rsidRPr="003237BE">
              <w:rPr>
                <w:strike/>
                <w:highlight w:val="darkGray"/>
                <w:lang w:val="fr-FR"/>
              </w:rPr>
              <w:t xml:space="preserve"> abalone</w:t>
            </w:r>
          </w:p>
        </w:tc>
      </w:tr>
      <w:tr w:rsidR="00155F29" w:rsidRPr="003237BE" w14:paraId="5B7B9E34"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10232B"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1F9C6" w14:textId="3644578B"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tuberculata</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77C98B" w14:textId="454B5A91"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tuberculate</w:t>
            </w:r>
            <w:proofErr w:type="spellEnd"/>
            <w:proofErr w:type="gramEnd"/>
            <w:r w:rsidRPr="003237BE">
              <w:rPr>
                <w:strike/>
                <w:highlight w:val="darkGray"/>
                <w:lang w:val="fr-FR"/>
              </w:rPr>
              <w:t xml:space="preserve"> abalone</w:t>
            </w:r>
          </w:p>
        </w:tc>
      </w:tr>
    </w:tbl>
    <w:p w14:paraId="2DFA0BA1" w14:textId="77777777" w:rsidR="00ED0F29" w:rsidRPr="003237BE" w:rsidRDefault="00ED0F29" w:rsidP="00E64E4E">
      <w:pPr>
        <w:pStyle w:val="1110"/>
        <w:spacing w:before="120"/>
        <w:rPr>
          <w:strike/>
          <w:highlight w:val="darkGray"/>
          <w:lang w:val="en-IE"/>
        </w:rPr>
      </w:pPr>
      <w:r w:rsidRPr="003237BE">
        <w:rPr>
          <w:strike/>
          <w:highlight w:val="darkGray"/>
          <w:lang w:val="en-IE"/>
        </w:rPr>
        <w:t>2.2.2.</w:t>
      </w:r>
      <w:r w:rsidRPr="003237BE">
        <w:rPr>
          <w:strike/>
          <w:highlight w:val="darkGray"/>
          <w:lang w:val="en-IE"/>
        </w:rPr>
        <w:tab/>
        <w:t>Species with incomplete evidence for susceptibility</w:t>
      </w:r>
    </w:p>
    <w:p w14:paraId="29E9C501" w14:textId="2C55DACF" w:rsidR="004D7CA3" w:rsidRPr="003237BE" w:rsidRDefault="004D7CA3" w:rsidP="00ED0F29">
      <w:pPr>
        <w:pStyle w:val="Para3"/>
        <w:rPr>
          <w:rFonts w:cs="Arial"/>
          <w:iCs/>
          <w:strike/>
          <w:szCs w:val="24"/>
          <w:highlight w:val="darkGray"/>
          <w:lang w:val="en-ZA"/>
        </w:rPr>
      </w:pPr>
      <w:r w:rsidRPr="003237BE">
        <w:rPr>
          <w:rFonts w:cs="Arial"/>
          <w:i/>
          <w:iCs/>
          <w:strike/>
          <w:szCs w:val="24"/>
          <w:highlight w:val="darkGray"/>
          <w:lang w:val="en-GB"/>
        </w:rPr>
        <w:t>Haliotis gigantea</w:t>
      </w:r>
      <w:r w:rsidRPr="003237BE">
        <w:rPr>
          <w:rFonts w:cs="Arial"/>
          <w:iCs/>
          <w:strike/>
          <w:szCs w:val="24"/>
          <w:highlight w:val="darkGray"/>
          <w:lang w:val="en-ZA"/>
        </w:rPr>
        <w:t xml:space="preserve"> has incomplete evidence to fulfil the criteria for listing as susceptible to infection with X. californiensis according to Chapter 1.5. </w:t>
      </w:r>
    </w:p>
    <w:p w14:paraId="6C9CF355" w14:textId="4D06BB83" w:rsidR="00ED0F29" w:rsidRPr="006D427B" w:rsidRDefault="004D7CA3" w:rsidP="00ED0F29">
      <w:pPr>
        <w:pStyle w:val="Para3"/>
        <w:rPr>
          <w:rFonts w:cs="Arial"/>
          <w:iCs/>
          <w:strike/>
          <w:szCs w:val="24"/>
          <w:lang w:val="en-GB"/>
        </w:rPr>
      </w:pPr>
      <w:r w:rsidRPr="003237BE">
        <w:rPr>
          <w:rFonts w:cs="Arial"/>
          <w:iCs/>
          <w:strike/>
          <w:szCs w:val="24"/>
          <w:highlight w:val="darkGray"/>
          <w:lang w:val="en-GB"/>
        </w:rPr>
        <w:t xml:space="preserve">In addition, pathogen-specific positive polymerase chain reaction (PCR) results have been reported in </w:t>
      </w:r>
      <w:r w:rsidRPr="003237BE">
        <w:rPr>
          <w:rFonts w:cs="Arial"/>
          <w:i/>
          <w:iCs/>
          <w:strike/>
          <w:szCs w:val="24"/>
          <w:highlight w:val="darkGray"/>
          <w:lang w:val="en-GB"/>
        </w:rPr>
        <w:t xml:space="preserve">Haliotis discus </w:t>
      </w:r>
      <w:proofErr w:type="spellStart"/>
      <w:r w:rsidRPr="003237BE">
        <w:rPr>
          <w:rFonts w:cs="Arial"/>
          <w:i/>
          <w:iCs/>
          <w:strike/>
          <w:szCs w:val="24"/>
          <w:highlight w:val="darkGray"/>
          <w:lang w:val="en-GB"/>
        </w:rPr>
        <w:t>hannai</w:t>
      </w:r>
      <w:proofErr w:type="spellEnd"/>
      <w:r w:rsidRPr="003237BE">
        <w:rPr>
          <w:rFonts w:cs="Arial"/>
          <w:iCs/>
          <w:strike/>
          <w:szCs w:val="24"/>
          <w:highlight w:val="darkGray"/>
          <w:lang w:val="en-GB"/>
        </w:rPr>
        <w:t>, but no active infection has been demonstrated.</w:t>
      </w:r>
    </w:p>
    <w:p w14:paraId="32F3628F" w14:textId="77777777" w:rsidR="00ED0F29" w:rsidRPr="006D427B" w:rsidRDefault="00ED0F29" w:rsidP="00ED0F29">
      <w:pPr>
        <w:pStyle w:val="1110"/>
        <w:rPr>
          <w:lang w:val="en-IE"/>
        </w:rPr>
      </w:pPr>
      <w:r w:rsidRPr="006D427B">
        <w:rPr>
          <w:lang w:val="en-IE"/>
        </w:rPr>
        <w:t>2.2.3.</w:t>
      </w:r>
      <w:r w:rsidRPr="006D427B">
        <w:rPr>
          <w:lang w:val="en-IE"/>
        </w:rPr>
        <w:tab/>
        <w:t>Likelihood of infection by species, host life stage, population or sub-populations</w:t>
      </w:r>
    </w:p>
    <w:p w14:paraId="7202022E" w14:textId="60A811DF" w:rsidR="00ED0F29" w:rsidRPr="006D427B" w:rsidRDefault="006019D8" w:rsidP="006019D8">
      <w:pPr>
        <w:pStyle w:val="Para3"/>
        <w:rPr>
          <w:rFonts w:cs="Arial"/>
        </w:rPr>
      </w:pPr>
      <w:r w:rsidRPr="006D427B">
        <w:rPr>
          <w:rFonts w:cs="Arial"/>
        </w:rPr>
        <w:t xml:space="preserve">The bacterium divides by binary fission (Friedman </w:t>
      </w:r>
      <w:r w:rsidRPr="006D427B">
        <w:rPr>
          <w:rFonts w:cs="Arial"/>
          <w:i/>
          <w:iCs/>
        </w:rPr>
        <w:t>et al.,</w:t>
      </w:r>
      <w:r w:rsidRPr="006D427B">
        <w:rPr>
          <w:rFonts w:cs="Arial"/>
        </w:rPr>
        <w:t xml:space="preserve"> 2000) and has direct, horizontal transmission (Braid </w:t>
      </w:r>
      <w:r w:rsidR="0082302B" w:rsidRPr="006D427B">
        <w:rPr>
          <w:rFonts w:cs="Arial"/>
          <w:i/>
        </w:rPr>
        <w:t>et al</w:t>
      </w:r>
      <w:r w:rsidRPr="006D427B">
        <w:rPr>
          <w:rFonts w:cs="Arial"/>
        </w:rPr>
        <w:t xml:space="preserve">., 2005; Friedman </w:t>
      </w:r>
      <w:r w:rsidR="0082302B" w:rsidRPr="006D427B">
        <w:rPr>
          <w:rFonts w:cs="Arial"/>
          <w:i/>
        </w:rPr>
        <w:t>et al</w:t>
      </w:r>
      <w:r w:rsidRPr="006D427B">
        <w:rPr>
          <w:rFonts w:cs="Arial"/>
        </w:rPr>
        <w:t xml:space="preserve">., 2002; Moore </w:t>
      </w:r>
      <w:r w:rsidR="0082302B" w:rsidRPr="006D427B">
        <w:rPr>
          <w:rFonts w:cs="Arial"/>
          <w:i/>
        </w:rPr>
        <w:t>et al</w:t>
      </w:r>
      <w:r w:rsidRPr="006D427B">
        <w:rPr>
          <w:rFonts w:cs="Arial"/>
        </w:rPr>
        <w:t xml:space="preserve">., </w:t>
      </w:r>
      <w:r w:rsidR="005A7BF5" w:rsidRPr="006D427B">
        <w:rPr>
          <w:rFonts w:cs="Arial"/>
        </w:rPr>
        <w:t>2001</w:t>
      </w:r>
      <w:r w:rsidRPr="006D427B">
        <w:rPr>
          <w:rFonts w:cs="Arial"/>
        </w:rPr>
        <w:t>). Although not typically observed in farmed abalones until they are in grow-out conditions (&gt;2.5 cm maximum size), polymerase chain reaction (PCR) examination of exposed 6-week-old abalones suggested that 1–2</w:t>
      </w:r>
      <w:r w:rsidR="00E51379" w:rsidRPr="006D427B">
        <w:rPr>
          <w:rFonts w:cs="Arial"/>
        </w:rPr>
        <w:t> </w:t>
      </w:r>
      <w:r w:rsidRPr="006D427B">
        <w:rPr>
          <w:rFonts w:cs="Arial"/>
        </w:rPr>
        <w:t xml:space="preserve">mm abalones may become infected (Moore </w:t>
      </w:r>
      <w:r w:rsidR="0082302B" w:rsidRPr="006D427B">
        <w:rPr>
          <w:rFonts w:cs="Arial"/>
          <w:i/>
        </w:rPr>
        <w:t>et al</w:t>
      </w:r>
      <w:r w:rsidRPr="006D427B">
        <w:rPr>
          <w:rFonts w:cs="Arial"/>
        </w:rPr>
        <w:t xml:space="preserve">., unpublished observations). Probability of detection increases with increasing abalone size. Animals less than 10 mm in size have a reduced probability of detection using histology but equal probability of detection using PCR (Friedman </w:t>
      </w:r>
      <w:r w:rsidR="0082302B" w:rsidRPr="006D427B">
        <w:rPr>
          <w:rFonts w:cs="Arial"/>
          <w:i/>
        </w:rPr>
        <w:t>et al</w:t>
      </w:r>
      <w:r w:rsidRPr="006D427B">
        <w:rPr>
          <w:rFonts w:cs="Arial"/>
        </w:rPr>
        <w:t xml:space="preserve">., 2007; Moore </w:t>
      </w:r>
      <w:r w:rsidR="0082302B" w:rsidRPr="006D427B">
        <w:rPr>
          <w:rFonts w:cs="Arial"/>
          <w:i/>
        </w:rPr>
        <w:t>et al</w:t>
      </w:r>
      <w:r w:rsidRPr="006D427B">
        <w:rPr>
          <w:rFonts w:cs="Arial"/>
        </w:rPr>
        <w:t xml:space="preserve">., 2011). </w:t>
      </w:r>
    </w:p>
    <w:p w14:paraId="77A982FE" w14:textId="1344CE58" w:rsidR="006019D8" w:rsidRPr="006D427B" w:rsidRDefault="006019D8" w:rsidP="006019D8">
      <w:pPr>
        <w:pStyle w:val="Para3"/>
        <w:rPr>
          <w:rFonts w:cs="Arial"/>
          <w:szCs w:val="18"/>
          <w:lang w:eastAsia="en-IE"/>
        </w:rPr>
      </w:pPr>
      <w:r w:rsidRPr="006D427B">
        <w:rPr>
          <w:rFonts w:cs="Arial"/>
          <w:szCs w:val="18"/>
          <w:lang w:eastAsia="en-IE"/>
        </w:rPr>
        <w:t xml:space="preserve">While all post-larval life stages have been demonstrated susceptible to infection with </w:t>
      </w:r>
      <w:r w:rsidRPr="006D427B">
        <w:rPr>
          <w:rFonts w:cs="Arial"/>
          <w:i/>
          <w:iCs/>
          <w:szCs w:val="18"/>
          <w:lang w:eastAsia="en-IE"/>
        </w:rPr>
        <w:t>X.</w:t>
      </w:r>
      <w:r w:rsidR="000B1570" w:rsidRPr="006D427B">
        <w:rPr>
          <w:rFonts w:cs="Arial"/>
          <w:i/>
          <w:iCs/>
          <w:szCs w:val="18"/>
          <w:lang w:eastAsia="en-IE"/>
        </w:rPr>
        <w:t> </w:t>
      </w:r>
      <w:r w:rsidRPr="006D427B">
        <w:rPr>
          <w:rFonts w:cs="Arial"/>
          <w:i/>
          <w:iCs/>
          <w:szCs w:val="18"/>
          <w:lang w:eastAsia="en-IE"/>
        </w:rPr>
        <w:t>californiensis</w:t>
      </w:r>
      <w:r w:rsidRPr="006D427B">
        <w:rPr>
          <w:rFonts w:cs="Arial"/>
          <w:szCs w:val="18"/>
          <w:lang w:eastAsia="en-IE"/>
        </w:rPr>
        <w:t xml:space="preserve">, clinical disease is typically observed in animals &gt;1 years of age in farmed abalones (Friedman, unpublished observations) and all abalone size classes observed in wild populations surveyed to date (e.g. Balseiro </w:t>
      </w:r>
      <w:r w:rsidR="0082302B" w:rsidRPr="006D427B">
        <w:rPr>
          <w:rFonts w:cs="Arial"/>
          <w:i/>
          <w:szCs w:val="18"/>
          <w:lang w:eastAsia="en-IE"/>
        </w:rPr>
        <w:t>et al</w:t>
      </w:r>
      <w:r w:rsidRPr="006D427B">
        <w:rPr>
          <w:rFonts w:cs="Arial"/>
          <w:szCs w:val="18"/>
          <w:lang w:eastAsia="en-IE"/>
        </w:rPr>
        <w:t xml:space="preserve">., 2006; Braid </w:t>
      </w:r>
      <w:r w:rsidR="0082302B" w:rsidRPr="006D427B">
        <w:rPr>
          <w:rFonts w:cs="Arial"/>
          <w:i/>
          <w:szCs w:val="18"/>
          <w:lang w:eastAsia="en-IE"/>
        </w:rPr>
        <w:t>et al</w:t>
      </w:r>
      <w:r w:rsidRPr="006D427B">
        <w:rPr>
          <w:rFonts w:cs="Arial"/>
          <w:szCs w:val="18"/>
          <w:lang w:eastAsia="en-IE"/>
        </w:rPr>
        <w:t xml:space="preserve">., 2005; Friedman </w:t>
      </w:r>
      <w:r w:rsidR="0082302B" w:rsidRPr="006D427B">
        <w:rPr>
          <w:rFonts w:cs="Arial"/>
          <w:i/>
          <w:szCs w:val="18"/>
          <w:lang w:eastAsia="en-IE"/>
        </w:rPr>
        <w:t>et al</w:t>
      </w:r>
      <w:r w:rsidRPr="006D427B">
        <w:rPr>
          <w:rFonts w:cs="Arial"/>
          <w:szCs w:val="18"/>
          <w:lang w:eastAsia="en-IE"/>
        </w:rPr>
        <w:t xml:space="preserve">., 1997; Haaker </w:t>
      </w:r>
      <w:r w:rsidR="0082302B" w:rsidRPr="006D427B">
        <w:rPr>
          <w:rFonts w:cs="Arial"/>
          <w:i/>
          <w:szCs w:val="18"/>
          <w:lang w:eastAsia="en-IE"/>
        </w:rPr>
        <w:t>et al</w:t>
      </w:r>
      <w:r w:rsidRPr="006D427B">
        <w:rPr>
          <w:rFonts w:cs="Arial"/>
          <w:szCs w:val="18"/>
          <w:lang w:eastAsia="en-IE"/>
        </w:rPr>
        <w:t xml:space="preserve">., 1992; Steinbeck </w:t>
      </w:r>
      <w:r w:rsidR="0082302B" w:rsidRPr="006D427B">
        <w:rPr>
          <w:rFonts w:cs="Arial"/>
          <w:i/>
          <w:szCs w:val="18"/>
          <w:lang w:eastAsia="en-IE"/>
        </w:rPr>
        <w:t>et al</w:t>
      </w:r>
      <w:r w:rsidRPr="006D427B">
        <w:rPr>
          <w:rFonts w:cs="Arial"/>
          <w:szCs w:val="18"/>
          <w:lang w:eastAsia="en-IE"/>
        </w:rPr>
        <w:t xml:space="preserve">., 1992; Van Blaricom </w:t>
      </w:r>
      <w:r w:rsidR="0082302B" w:rsidRPr="006D427B">
        <w:rPr>
          <w:rFonts w:cs="Arial"/>
          <w:i/>
          <w:szCs w:val="18"/>
          <w:lang w:eastAsia="en-IE"/>
        </w:rPr>
        <w:t>et al</w:t>
      </w:r>
      <w:r w:rsidRPr="006D427B">
        <w:rPr>
          <w:rFonts w:cs="Arial"/>
          <w:szCs w:val="18"/>
          <w:lang w:eastAsia="en-IE"/>
        </w:rPr>
        <w:t>., 1993).</w:t>
      </w:r>
    </w:p>
    <w:p w14:paraId="521A99BE" w14:textId="77777777" w:rsidR="00ED0F29" w:rsidRPr="006D427B" w:rsidRDefault="00ED0F29" w:rsidP="00ED0F29">
      <w:pPr>
        <w:pStyle w:val="1110"/>
        <w:rPr>
          <w:lang w:val="en-IE"/>
        </w:rPr>
      </w:pPr>
      <w:r w:rsidRPr="006D427B">
        <w:rPr>
          <w:lang w:val="en-IE"/>
        </w:rPr>
        <w:t>2.2.4.</w:t>
      </w:r>
      <w:r w:rsidRPr="006D427B">
        <w:rPr>
          <w:lang w:val="en-IE"/>
        </w:rPr>
        <w:tab/>
        <w:t>Distribution of the pathogen in the host</w:t>
      </w:r>
    </w:p>
    <w:p w14:paraId="6188F1C0" w14:textId="2B7A1EF3" w:rsidR="00ED0F29" w:rsidRPr="006D427B" w:rsidRDefault="006019D8" w:rsidP="00ED0F29">
      <w:pPr>
        <w:pStyle w:val="Para3"/>
        <w:rPr>
          <w:rFonts w:cs="Arial"/>
          <w:lang w:eastAsia="fr-FR"/>
        </w:rPr>
      </w:pPr>
      <w:r w:rsidRPr="006D427B">
        <w:rPr>
          <w:rFonts w:cs="Arial"/>
          <w:i/>
          <w:iCs/>
          <w:lang w:eastAsia="fr-FR"/>
        </w:rPr>
        <w:t>Xenohaliotis californiensis</w:t>
      </w:r>
      <w:r w:rsidRPr="006D427B">
        <w:rPr>
          <w:rFonts w:cs="Arial"/>
          <w:lang w:eastAsia="fr-FR"/>
        </w:rPr>
        <w:t xml:space="preserve"> infects the gastrointestinal epithelial cells of the posterior oesophagus, digestive gland and, to a lesser extent, intestine (Friedman </w:t>
      </w:r>
      <w:r w:rsidR="0082302B" w:rsidRPr="006D427B">
        <w:rPr>
          <w:rFonts w:cs="Arial"/>
          <w:i/>
          <w:lang w:eastAsia="fr-FR"/>
        </w:rPr>
        <w:t>et al</w:t>
      </w:r>
      <w:r w:rsidRPr="006D427B">
        <w:rPr>
          <w:rFonts w:cs="Arial"/>
          <w:lang w:eastAsia="fr-FR"/>
        </w:rPr>
        <w:t>., 2000).</w:t>
      </w:r>
    </w:p>
    <w:p w14:paraId="5DAF49E2" w14:textId="77777777" w:rsidR="00ED0F29" w:rsidRPr="006D427B" w:rsidRDefault="00ED0F29" w:rsidP="00ED0F29">
      <w:pPr>
        <w:pStyle w:val="1110"/>
        <w:rPr>
          <w:lang w:val="en-IE"/>
        </w:rPr>
      </w:pPr>
      <w:r w:rsidRPr="006D427B">
        <w:rPr>
          <w:lang w:val="en-IE"/>
        </w:rPr>
        <w:t>2.2.5.</w:t>
      </w:r>
      <w:r w:rsidRPr="006D427B">
        <w:rPr>
          <w:lang w:val="en-IE"/>
        </w:rPr>
        <w:tab/>
        <w:t xml:space="preserve">Aquatic animal reservoirs of infection </w:t>
      </w:r>
    </w:p>
    <w:p w14:paraId="28B25BF6" w14:textId="51ACB0E7" w:rsidR="00ED0F29" w:rsidRPr="006D427B" w:rsidRDefault="00503313" w:rsidP="00ED0F29">
      <w:pPr>
        <w:pStyle w:val="Para3"/>
      </w:pPr>
      <w:r w:rsidRPr="006D427B">
        <w:rPr>
          <w:rFonts w:cs="Arial"/>
          <w:lang w:eastAsia="fr-FR"/>
        </w:rPr>
        <w:t>None</w:t>
      </w:r>
      <w:r w:rsidR="000B1570" w:rsidRPr="006D427B">
        <w:rPr>
          <w:rFonts w:cs="Arial"/>
          <w:lang w:eastAsia="fr-FR"/>
        </w:rPr>
        <w:t>.</w:t>
      </w:r>
    </w:p>
    <w:p w14:paraId="5D7EC5AE" w14:textId="77777777" w:rsidR="00ED0F29" w:rsidRPr="006D427B" w:rsidRDefault="00ED0F29" w:rsidP="00ED0F29">
      <w:pPr>
        <w:pStyle w:val="1110"/>
        <w:rPr>
          <w:lang w:val="en-IE"/>
        </w:rPr>
      </w:pPr>
      <w:r w:rsidRPr="006D427B">
        <w:rPr>
          <w:lang w:val="en-IE"/>
        </w:rPr>
        <w:t>2.2.6.</w:t>
      </w:r>
      <w:r w:rsidRPr="006D427B">
        <w:rPr>
          <w:lang w:val="en-IE"/>
        </w:rPr>
        <w:tab/>
        <w:t>Vectors</w:t>
      </w:r>
    </w:p>
    <w:p w14:paraId="637291D4" w14:textId="690B6AD4" w:rsidR="00ED0F29" w:rsidRPr="006D427B" w:rsidRDefault="00503313" w:rsidP="00ED0F29">
      <w:pPr>
        <w:pStyle w:val="Para3"/>
        <w:rPr>
          <w:rFonts w:cs="Arial"/>
          <w:lang w:eastAsia="fr-FR"/>
        </w:rPr>
      </w:pPr>
      <w:r w:rsidRPr="006D427B">
        <w:rPr>
          <w:rFonts w:cs="Arial"/>
        </w:rPr>
        <w:t>None</w:t>
      </w:r>
      <w:r w:rsidR="000B1570" w:rsidRPr="006D427B">
        <w:rPr>
          <w:rFonts w:cs="Arial"/>
        </w:rPr>
        <w:t>.</w:t>
      </w:r>
    </w:p>
    <w:p w14:paraId="3D516841" w14:textId="77777777" w:rsidR="00ED0F29" w:rsidRPr="006D427B" w:rsidRDefault="00ED0F29" w:rsidP="00ED0F29">
      <w:pPr>
        <w:pStyle w:val="110"/>
      </w:pPr>
      <w:r w:rsidRPr="006D427B">
        <w:lastRenderedPageBreak/>
        <w:t>2.3.</w:t>
      </w:r>
      <w:r w:rsidRPr="006D427B">
        <w:tab/>
        <w:t>Disease pattern</w:t>
      </w:r>
    </w:p>
    <w:p w14:paraId="214D8F63" w14:textId="77777777" w:rsidR="00ED0F29" w:rsidRPr="006D427B" w:rsidRDefault="00ED0F29" w:rsidP="00ED0F29">
      <w:pPr>
        <w:pStyle w:val="1110"/>
        <w:rPr>
          <w:lang w:val="en-IE"/>
        </w:rPr>
      </w:pPr>
      <w:r w:rsidRPr="006D427B">
        <w:rPr>
          <w:lang w:val="en-IE"/>
        </w:rPr>
        <w:t>2.3.1.</w:t>
      </w:r>
      <w:r w:rsidRPr="006D427B">
        <w:rPr>
          <w:lang w:val="en-IE"/>
        </w:rPr>
        <w:tab/>
        <w:t>Mortality, morbidity and prevalence</w:t>
      </w:r>
    </w:p>
    <w:p w14:paraId="2C84D24D" w14:textId="0076EB4B" w:rsidR="0019343F" w:rsidRPr="006D427B" w:rsidRDefault="006E3536" w:rsidP="00ED0F29">
      <w:pPr>
        <w:pStyle w:val="Para3"/>
        <w:rPr>
          <w:rFonts w:cs="Arial"/>
          <w:lang w:eastAsia="fr-FR"/>
        </w:rPr>
      </w:pPr>
      <w:r w:rsidRPr="006D427B">
        <w:rPr>
          <w:rFonts w:cs="Arial"/>
          <w:lang w:eastAsia="fr-FR"/>
        </w:rPr>
        <w:t xml:space="preserve">Susceptibility varies with species </w:t>
      </w:r>
      <w:r w:rsidR="00853B9B" w:rsidRPr="006D427B">
        <w:rPr>
          <w:rFonts w:cs="Arial"/>
          <w:lang w:eastAsia="fr-FR"/>
        </w:rPr>
        <w:t>as</w:t>
      </w:r>
      <w:r w:rsidRPr="006D427B">
        <w:rPr>
          <w:rFonts w:cs="Arial"/>
          <w:lang w:eastAsia="fr-FR"/>
        </w:rPr>
        <w:t xml:space="preserve"> the bacterium is known to cause disease in </w:t>
      </w:r>
      <w:r w:rsidR="00853B9B" w:rsidRPr="006D427B">
        <w:rPr>
          <w:i/>
          <w:iCs/>
          <w:lang w:val="en-US"/>
        </w:rPr>
        <w:t>H. </w:t>
      </w:r>
      <w:proofErr w:type="spellStart"/>
      <w:r w:rsidR="00853B9B" w:rsidRPr="006D427B">
        <w:rPr>
          <w:i/>
          <w:iCs/>
          <w:lang w:val="en-US"/>
        </w:rPr>
        <w:t>cracherodii</w:t>
      </w:r>
      <w:proofErr w:type="spellEnd"/>
      <w:r w:rsidR="00853B9B" w:rsidRPr="006D427B">
        <w:rPr>
          <w:rFonts w:cs="Arial"/>
          <w:lang w:eastAsia="fr-FR"/>
        </w:rPr>
        <w:t xml:space="preserve"> </w:t>
      </w:r>
      <w:r w:rsidRPr="006D427B">
        <w:rPr>
          <w:rFonts w:cs="Arial"/>
          <w:lang w:eastAsia="fr-FR"/>
        </w:rPr>
        <w:t xml:space="preserve">(up to 99% mortality; Moore </w:t>
      </w:r>
      <w:r w:rsidR="0082302B" w:rsidRPr="006D427B">
        <w:rPr>
          <w:rFonts w:cs="Arial"/>
          <w:i/>
          <w:lang w:eastAsia="fr-FR"/>
        </w:rPr>
        <w:t>et al</w:t>
      </w:r>
      <w:r w:rsidRPr="006D427B">
        <w:rPr>
          <w:rFonts w:cs="Arial"/>
          <w:lang w:eastAsia="fr-FR"/>
        </w:rPr>
        <w:t xml:space="preserve">., 2009), </w:t>
      </w:r>
      <w:r w:rsidR="00853B9B" w:rsidRPr="006D427B">
        <w:rPr>
          <w:i/>
          <w:iCs/>
          <w:lang w:val="en-US"/>
        </w:rPr>
        <w:t>H. </w:t>
      </w:r>
      <w:proofErr w:type="spellStart"/>
      <w:r w:rsidR="00853B9B" w:rsidRPr="006D427B">
        <w:rPr>
          <w:i/>
          <w:iCs/>
          <w:lang w:val="en-US"/>
        </w:rPr>
        <w:t>sorenseni</w:t>
      </w:r>
      <w:proofErr w:type="spellEnd"/>
      <w:r w:rsidR="00853B9B" w:rsidRPr="006D427B">
        <w:rPr>
          <w:rFonts w:cs="Arial"/>
          <w:lang w:eastAsia="fr-FR"/>
        </w:rPr>
        <w:t xml:space="preserve"> </w:t>
      </w:r>
      <w:r w:rsidRPr="006D427B">
        <w:rPr>
          <w:rFonts w:cs="Arial"/>
          <w:lang w:eastAsia="fr-FR"/>
        </w:rPr>
        <w:t xml:space="preserve">(up to 100% mortality; Friedman &amp; McCormick, unpublished observations), </w:t>
      </w:r>
      <w:r w:rsidR="00853B9B" w:rsidRPr="006D427B">
        <w:rPr>
          <w:i/>
          <w:iCs/>
          <w:lang w:val="en-US"/>
        </w:rPr>
        <w:t>H. rufescens</w:t>
      </w:r>
      <w:r w:rsidR="00853B9B" w:rsidRPr="006D427B">
        <w:rPr>
          <w:rFonts w:cs="Arial"/>
          <w:lang w:eastAsia="fr-FR"/>
        </w:rPr>
        <w:t xml:space="preserve"> </w:t>
      </w:r>
      <w:r w:rsidRPr="006D427B">
        <w:rPr>
          <w:rFonts w:cs="Arial"/>
          <w:lang w:eastAsia="fr-FR"/>
        </w:rPr>
        <w:t xml:space="preserve">(up to 35% mortality; Moore </w:t>
      </w:r>
      <w:r w:rsidR="0082302B" w:rsidRPr="006D427B">
        <w:rPr>
          <w:rFonts w:cs="Arial"/>
          <w:i/>
          <w:lang w:eastAsia="fr-FR"/>
        </w:rPr>
        <w:t>et al</w:t>
      </w:r>
      <w:r w:rsidRPr="006D427B">
        <w:rPr>
          <w:rFonts w:cs="Arial"/>
          <w:lang w:eastAsia="fr-FR"/>
        </w:rPr>
        <w:t xml:space="preserve">., 2000; </w:t>
      </w:r>
      <w:r w:rsidR="005A7BF5" w:rsidRPr="006D427B">
        <w:rPr>
          <w:rFonts w:cs="Arial"/>
          <w:lang w:eastAsia="fr-FR"/>
        </w:rPr>
        <w:t>2001</w:t>
      </w:r>
      <w:r w:rsidRPr="006D427B">
        <w:rPr>
          <w:rFonts w:cs="Arial"/>
          <w:lang w:eastAsia="fr-FR"/>
        </w:rPr>
        <w:t xml:space="preserve">), </w:t>
      </w:r>
      <w:r w:rsidR="002B01D1" w:rsidRPr="006D427B">
        <w:rPr>
          <w:rFonts w:cs="Arial"/>
          <w:i/>
          <w:iCs/>
          <w:lang w:eastAsia="fr-FR"/>
        </w:rPr>
        <w:t>H</w:t>
      </w:r>
      <w:r w:rsidR="00853B9B" w:rsidRPr="006D427B">
        <w:rPr>
          <w:rFonts w:cs="Arial"/>
          <w:i/>
          <w:iCs/>
          <w:lang w:eastAsia="fr-FR"/>
        </w:rPr>
        <w:t>. </w:t>
      </w:r>
      <w:r w:rsidR="002B01D1" w:rsidRPr="006D427B">
        <w:rPr>
          <w:rFonts w:cs="Arial"/>
          <w:i/>
          <w:iCs/>
          <w:lang w:eastAsia="fr-FR"/>
        </w:rPr>
        <w:t>corrugata</w:t>
      </w:r>
      <w:r w:rsidRPr="006D427B">
        <w:rPr>
          <w:rFonts w:cs="Arial"/>
          <w:lang w:eastAsia="fr-FR"/>
        </w:rPr>
        <w:t xml:space="preserve"> and </w:t>
      </w:r>
      <w:r w:rsidR="00853B9B" w:rsidRPr="006D427B">
        <w:rPr>
          <w:i/>
          <w:iCs/>
          <w:lang w:val="en-US"/>
        </w:rPr>
        <w:t>H. fulgens</w:t>
      </w:r>
      <w:r w:rsidRPr="006D427B">
        <w:rPr>
          <w:rFonts w:cs="Arial"/>
          <w:lang w:eastAsia="fr-FR"/>
        </w:rPr>
        <w:t xml:space="preserve"> (Tinajero </w:t>
      </w:r>
      <w:r w:rsidR="0082302B" w:rsidRPr="006D427B">
        <w:rPr>
          <w:rFonts w:cs="Arial"/>
          <w:i/>
          <w:lang w:eastAsia="fr-FR"/>
        </w:rPr>
        <w:t>et al</w:t>
      </w:r>
      <w:r w:rsidRPr="006D427B">
        <w:rPr>
          <w:rFonts w:cs="Arial"/>
          <w:lang w:eastAsia="fr-FR"/>
        </w:rPr>
        <w:t xml:space="preserve">., 2002). Unlike the other abalone species studied to date, the magnitude of abalone mortality is not well documented in </w:t>
      </w:r>
      <w:r w:rsidR="00853B9B" w:rsidRPr="006D427B">
        <w:rPr>
          <w:rFonts w:cs="Arial"/>
          <w:i/>
          <w:iCs/>
          <w:lang w:eastAsia="fr-FR"/>
        </w:rPr>
        <w:t>H. corrugata</w:t>
      </w:r>
      <w:r w:rsidRPr="006D427B">
        <w:rPr>
          <w:rFonts w:cs="Arial"/>
          <w:lang w:eastAsia="fr-FR"/>
        </w:rPr>
        <w:t xml:space="preserve"> and </w:t>
      </w:r>
      <w:r w:rsidR="00853B9B" w:rsidRPr="006D427B">
        <w:rPr>
          <w:i/>
          <w:iCs/>
          <w:lang w:val="en-US"/>
        </w:rPr>
        <w:t>H. fulgens</w:t>
      </w:r>
      <w:r w:rsidRPr="006D427B">
        <w:rPr>
          <w:rFonts w:cs="Arial"/>
          <w:lang w:eastAsia="fr-FR"/>
        </w:rPr>
        <w:t xml:space="preserve">. However, in Baja California, Mexico, up to 100% of </w:t>
      </w:r>
      <w:r w:rsidR="00853B9B" w:rsidRPr="006D427B">
        <w:rPr>
          <w:i/>
          <w:iCs/>
          <w:lang w:val="en-US"/>
        </w:rPr>
        <w:t>H. fulgens</w:t>
      </w:r>
      <w:r w:rsidR="00853B9B" w:rsidRPr="006D427B">
        <w:rPr>
          <w:rFonts w:cs="Arial"/>
          <w:lang w:eastAsia="fr-FR"/>
        </w:rPr>
        <w:t xml:space="preserve"> </w:t>
      </w:r>
      <w:r w:rsidRPr="006D427B">
        <w:rPr>
          <w:rFonts w:cs="Arial"/>
          <w:lang w:eastAsia="fr-FR"/>
        </w:rPr>
        <w:t xml:space="preserve">and 63% of </w:t>
      </w:r>
      <w:r w:rsidR="002B01D1" w:rsidRPr="006D427B">
        <w:rPr>
          <w:rFonts w:cs="Arial"/>
          <w:i/>
          <w:iCs/>
          <w:lang w:eastAsia="fr-FR"/>
        </w:rPr>
        <w:t>H</w:t>
      </w:r>
      <w:r w:rsidR="00853B9B" w:rsidRPr="006D427B">
        <w:rPr>
          <w:rFonts w:cs="Arial"/>
          <w:i/>
          <w:iCs/>
          <w:lang w:eastAsia="fr-FR"/>
        </w:rPr>
        <w:t>. </w:t>
      </w:r>
      <w:r w:rsidR="002B01D1" w:rsidRPr="006D427B">
        <w:rPr>
          <w:rFonts w:cs="Arial"/>
          <w:i/>
          <w:iCs/>
          <w:lang w:eastAsia="fr-FR"/>
        </w:rPr>
        <w:t>corrugata</w:t>
      </w:r>
      <w:r w:rsidR="002B01D1" w:rsidRPr="006D427B">
        <w:rPr>
          <w:rFonts w:cs="Arial"/>
          <w:lang w:eastAsia="fr-FR"/>
        </w:rPr>
        <w:t xml:space="preserve"> </w:t>
      </w:r>
      <w:r w:rsidRPr="006D427B">
        <w:rPr>
          <w:rFonts w:cs="Arial"/>
          <w:lang w:eastAsia="fr-FR"/>
        </w:rPr>
        <w:t xml:space="preserve">may be infected, with up to 43% of </w:t>
      </w:r>
      <w:r w:rsidR="00853B9B" w:rsidRPr="006D427B">
        <w:rPr>
          <w:i/>
          <w:iCs/>
          <w:lang w:val="en-US"/>
        </w:rPr>
        <w:t>H. fulgens</w:t>
      </w:r>
      <w:r w:rsidR="00853B9B" w:rsidRPr="006D427B">
        <w:rPr>
          <w:rFonts w:cs="Arial"/>
          <w:lang w:eastAsia="fr-FR"/>
        </w:rPr>
        <w:t xml:space="preserve"> </w:t>
      </w:r>
      <w:r w:rsidRPr="006D427B">
        <w:rPr>
          <w:rFonts w:cs="Arial"/>
          <w:lang w:eastAsia="fr-FR"/>
        </w:rPr>
        <w:t xml:space="preserve">and 71% of </w:t>
      </w:r>
      <w:r w:rsidR="002B01D1" w:rsidRPr="006D427B">
        <w:rPr>
          <w:rFonts w:cs="Arial"/>
          <w:i/>
          <w:iCs/>
          <w:lang w:eastAsia="fr-FR"/>
        </w:rPr>
        <w:t>H</w:t>
      </w:r>
      <w:r w:rsidR="00853B9B" w:rsidRPr="006D427B">
        <w:rPr>
          <w:rFonts w:cs="Arial"/>
          <w:i/>
          <w:iCs/>
          <w:lang w:eastAsia="fr-FR"/>
        </w:rPr>
        <w:t>. </w:t>
      </w:r>
      <w:r w:rsidR="002B01D1" w:rsidRPr="006D427B">
        <w:rPr>
          <w:rFonts w:cs="Arial"/>
          <w:i/>
          <w:iCs/>
          <w:lang w:eastAsia="fr-FR"/>
        </w:rPr>
        <w:t>corrugata</w:t>
      </w:r>
      <w:r w:rsidRPr="006D427B">
        <w:rPr>
          <w:rFonts w:cs="Arial"/>
          <w:lang w:eastAsia="fr-FR"/>
        </w:rPr>
        <w:t xml:space="preserve"> having microscopic signs of disease (degenerated or metaplastic digestive gland; Tinajero </w:t>
      </w:r>
      <w:r w:rsidR="0082302B" w:rsidRPr="006D427B">
        <w:rPr>
          <w:rFonts w:cs="Arial"/>
          <w:i/>
          <w:lang w:eastAsia="fr-FR"/>
        </w:rPr>
        <w:t>et al</w:t>
      </w:r>
      <w:r w:rsidRPr="006D427B">
        <w:rPr>
          <w:rFonts w:cs="Arial"/>
          <w:lang w:eastAsia="fr-FR"/>
        </w:rPr>
        <w:t>., 2002).</w:t>
      </w:r>
      <w:r w:rsidR="00853B9B" w:rsidRPr="006D427B">
        <w:rPr>
          <w:rFonts w:cs="Arial"/>
          <w:lang w:eastAsia="fr-FR"/>
        </w:rPr>
        <w:t xml:space="preserve"> </w:t>
      </w:r>
    </w:p>
    <w:p w14:paraId="37828BBA" w14:textId="26523E1F" w:rsidR="00ED0F29" w:rsidRPr="006D427B" w:rsidRDefault="006E3536" w:rsidP="00ED0F29">
      <w:pPr>
        <w:pStyle w:val="Para3"/>
        <w:rPr>
          <w:rFonts w:cs="Arial"/>
          <w:lang w:eastAsia="fr-FR"/>
        </w:rPr>
      </w:pPr>
      <w:r w:rsidRPr="006D427B">
        <w:rPr>
          <w:rFonts w:cs="Arial"/>
          <w:lang w:eastAsia="fr-FR"/>
        </w:rPr>
        <w:t>The incubation period varies with temperature but typically involves a prolonged 3</w:t>
      </w:r>
      <w:r w:rsidR="00F60C98" w:rsidRPr="006D427B">
        <w:rPr>
          <w:rFonts w:cs="Arial"/>
          <w:lang w:eastAsia="fr-FR"/>
        </w:rPr>
        <w:t xml:space="preserve">- to </w:t>
      </w:r>
      <w:r w:rsidRPr="006D427B">
        <w:rPr>
          <w:rFonts w:cs="Arial"/>
          <w:lang w:eastAsia="fr-FR"/>
        </w:rPr>
        <w:t>7</w:t>
      </w:r>
      <w:r w:rsidR="00F60C98" w:rsidRPr="006D427B">
        <w:rPr>
          <w:rFonts w:cs="Arial"/>
          <w:lang w:eastAsia="fr-FR"/>
        </w:rPr>
        <w:t>-</w:t>
      </w:r>
      <w:r w:rsidRPr="006D427B">
        <w:rPr>
          <w:rFonts w:cs="Arial"/>
          <w:lang w:eastAsia="fr-FR"/>
        </w:rPr>
        <w:t xml:space="preserve">month prepatent period. Mortality typically occurs 1–2.5 months after the onset of visible clinical signs (Friedman </w:t>
      </w:r>
      <w:r w:rsidR="0082302B" w:rsidRPr="006D427B">
        <w:rPr>
          <w:rFonts w:cs="Arial"/>
          <w:i/>
          <w:lang w:eastAsia="fr-FR"/>
        </w:rPr>
        <w:t>et al</w:t>
      </w:r>
      <w:r w:rsidRPr="006D427B">
        <w:rPr>
          <w:rFonts w:cs="Arial"/>
          <w:lang w:eastAsia="fr-FR"/>
        </w:rPr>
        <w:t xml:space="preserve">., 1997). Prevalence has not been well documented but up to 61% of </w:t>
      </w:r>
      <w:r w:rsidRPr="006D427B">
        <w:rPr>
          <w:rFonts w:cs="Arial"/>
          <w:i/>
          <w:iCs/>
          <w:lang w:eastAsia="fr-FR"/>
        </w:rPr>
        <w:t xml:space="preserve">H. </w:t>
      </w:r>
      <w:proofErr w:type="spellStart"/>
      <w:r w:rsidRPr="006D427B">
        <w:rPr>
          <w:rFonts w:cs="Arial"/>
          <w:i/>
          <w:iCs/>
          <w:lang w:eastAsia="fr-FR"/>
        </w:rPr>
        <w:t>diversicolor</w:t>
      </w:r>
      <w:proofErr w:type="spellEnd"/>
      <w:r w:rsidRPr="006D427B">
        <w:rPr>
          <w:rFonts w:cs="Arial"/>
          <w:i/>
          <w:iCs/>
          <w:lang w:eastAsia="fr-FR"/>
        </w:rPr>
        <w:t xml:space="preserve"> </w:t>
      </w:r>
      <w:proofErr w:type="spellStart"/>
      <w:r w:rsidRPr="006D427B">
        <w:rPr>
          <w:rFonts w:cs="Arial"/>
          <w:i/>
          <w:iCs/>
          <w:lang w:eastAsia="fr-FR"/>
        </w:rPr>
        <w:t>supertexta</w:t>
      </w:r>
      <w:proofErr w:type="spellEnd"/>
      <w:r w:rsidRPr="006D427B">
        <w:rPr>
          <w:rFonts w:cs="Arial"/>
          <w:lang w:eastAsia="fr-FR"/>
        </w:rPr>
        <w:t xml:space="preserve"> were infected at a farm in Thailand, however, like the European abalone, </w:t>
      </w:r>
      <w:r w:rsidRPr="006D427B">
        <w:rPr>
          <w:rFonts w:cs="Arial"/>
          <w:i/>
          <w:iCs/>
          <w:lang w:eastAsia="fr-FR"/>
        </w:rPr>
        <w:t>H. tuberculata</w:t>
      </w:r>
      <w:r w:rsidRPr="006D427B">
        <w:rPr>
          <w:rFonts w:cs="Arial"/>
          <w:lang w:eastAsia="fr-FR"/>
        </w:rPr>
        <w:t xml:space="preserve">, no abalones exhibited clinical signs of withering syndrome (Balseiro </w:t>
      </w:r>
      <w:r w:rsidR="0082302B" w:rsidRPr="006D427B">
        <w:rPr>
          <w:rFonts w:cs="Arial"/>
          <w:i/>
          <w:lang w:eastAsia="fr-FR"/>
        </w:rPr>
        <w:t>et al</w:t>
      </w:r>
      <w:r w:rsidRPr="006D427B">
        <w:rPr>
          <w:rFonts w:cs="Arial"/>
          <w:lang w:eastAsia="fr-FR"/>
        </w:rPr>
        <w:t>., 2001).</w:t>
      </w:r>
    </w:p>
    <w:p w14:paraId="664FD97F" w14:textId="7862470F" w:rsidR="00C41F65" w:rsidRPr="006D427B" w:rsidRDefault="5ED66E6A" w:rsidP="1766AC1A">
      <w:pPr>
        <w:pStyle w:val="Para3"/>
        <w:rPr>
          <w:rFonts w:cs="Arial"/>
          <w:lang w:eastAsia="en-IE"/>
        </w:rPr>
      </w:pPr>
      <w:r w:rsidRPr="006D427B">
        <w:rPr>
          <w:rFonts w:cs="Arial"/>
          <w:lang w:eastAsia="en-IE"/>
        </w:rPr>
        <w:t xml:space="preserve">Infections may persist for long periods without the development of clinical disease when the host is maintained at cool water temperatures (e.g. 15°C for </w:t>
      </w:r>
      <w:r w:rsidR="00E51379" w:rsidRPr="006D427B">
        <w:rPr>
          <w:i/>
          <w:iCs/>
        </w:rPr>
        <w:t>H. rufescens</w:t>
      </w:r>
      <w:r w:rsidRPr="006D427B">
        <w:rPr>
          <w:rFonts w:cs="Arial"/>
          <w:lang w:eastAsia="en-IE"/>
        </w:rPr>
        <w:t xml:space="preserve">), and exposure to elevated seawater temperatures (e.g. &gt;17°C for </w:t>
      </w:r>
      <w:r w:rsidR="00CC5E52" w:rsidRPr="006D427B">
        <w:rPr>
          <w:i/>
          <w:iCs/>
        </w:rPr>
        <w:t>H. rufescens</w:t>
      </w:r>
      <w:r w:rsidRPr="006D427B">
        <w:rPr>
          <w:rFonts w:cs="Arial"/>
          <w:lang w:eastAsia="en-IE"/>
        </w:rPr>
        <w:t xml:space="preserve">, </w:t>
      </w:r>
      <w:r w:rsidR="00CC5E52" w:rsidRPr="006D427B">
        <w:rPr>
          <w:i/>
          <w:iCs/>
        </w:rPr>
        <w:t xml:space="preserve">H. </w:t>
      </w:r>
      <w:proofErr w:type="spellStart"/>
      <w:r w:rsidR="00CC5E52" w:rsidRPr="006D427B">
        <w:rPr>
          <w:i/>
          <w:iCs/>
        </w:rPr>
        <w:t>cracherodii</w:t>
      </w:r>
      <w:proofErr w:type="spellEnd"/>
      <w:r w:rsidR="00CC5E52" w:rsidRPr="006D427B">
        <w:rPr>
          <w:rFonts w:cs="Arial"/>
          <w:lang w:eastAsia="en-IE"/>
        </w:rPr>
        <w:t xml:space="preserve"> </w:t>
      </w:r>
      <w:r w:rsidRPr="006D427B">
        <w:rPr>
          <w:rFonts w:cs="Arial"/>
          <w:lang w:eastAsia="en-IE"/>
        </w:rPr>
        <w:t xml:space="preserve">and </w:t>
      </w:r>
      <w:r w:rsidR="00CC5E52" w:rsidRPr="006D427B">
        <w:rPr>
          <w:i/>
          <w:iCs/>
        </w:rPr>
        <w:t xml:space="preserve">H. </w:t>
      </w:r>
      <w:proofErr w:type="spellStart"/>
      <w:r w:rsidR="00CC5E52" w:rsidRPr="006D427B">
        <w:rPr>
          <w:i/>
          <w:iCs/>
        </w:rPr>
        <w:t>sorenseni</w:t>
      </w:r>
      <w:proofErr w:type="spellEnd"/>
      <w:r w:rsidRPr="006D427B">
        <w:rPr>
          <w:rFonts w:cs="Arial"/>
          <w:lang w:eastAsia="en-IE"/>
        </w:rPr>
        <w:t xml:space="preserve">) typically results in clinical disease (Friedman &amp; Finley, 2003; Moore </w:t>
      </w:r>
      <w:r w:rsidRPr="006D427B">
        <w:rPr>
          <w:rFonts w:cs="Arial"/>
          <w:i/>
          <w:iCs/>
          <w:lang w:eastAsia="en-IE"/>
        </w:rPr>
        <w:t>et al</w:t>
      </w:r>
      <w:r w:rsidRPr="006D427B">
        <w:rPr>
          <w:rFonts w:cs="Arial"/>
          <w:lang w:eastAsia="en-IE"/>
        </w:rPr>
        <w:t xml:space="preserve">., 2000; Steinbeck </w:t>
      </w:r>
      <w:r w:rsidRPr="006D427B">
        <w:rPr>
          <w:rFonts w:cs="Arial"/>
          <w:i/>
          <w:iCs/>
          <w:lang w:eastAsia="en-IE"/>
        </w:rPr>
        <w:t>et al</w:t>
      </w:r>
      <w:r w:rsidRPr="006D427B">
        <w:rPr>
          <w:rFonts w:cs="Arial"/>
          <w:lang w:eastAsia="en-IE"/>
        </w:rPr>
        <w:t xml:space="preserve">., 1992). Varying seawater temperatures with a lower mean temperature (e.g. 16.5°C for </w:t>
      </w:r>
      <w:r w:rsidR="00CC5E52" w:rsidRPr="006D427B">
        <w:rPr>
          <w:i/>
          <w:iCs/>
        </w:rPr>
        <w:t>H. rufescens</w:t>
      </w:r>
      <w:r w:rsidRPr="006D427B">
        <w:rPr>
          <w:rFonts w:cs="Arial"/>
          <w:lang w:eastAsia="en-IE"/>
        </w:rPr>
        <w:t xml:space="preserve">) may exacerbate losses (Moore </w:t>
      </w:r>
      <w:r w:rsidRPr="006D427B">
        <w:rPr>
          <w:rFonts w:cs="Arial"/>
          <w:i/>
          <w:iCs/>
          <w:lang w:eastAsia="en-IE"/>
        </w:rPr>
        <w:t>et al</w:t>
      </w:r>
      <w:r w:rsidRPr="006D427B">
        <w:rPr>
          <w:rFonts w:cs="Arial"/>
          <w:lang w:eastAsia="en-IE"/>
        </w:rPr>
        <w:t>., 2011). There is some suggestion that species, especially those inhabiting warmer waters may harbour the bacterium without the development of clinical disease (</w:t>
      </w:r>
      <w:proofErr w:type="spellStart"/>
      <w:r w:rsidRPr="006D427B">
        <w:rPr>
          <w:rFonts w:cs="Arial"/>
          <w:lang w:eastAsia="en-IE"/>
        </w:rPr>
        <w:t>Wetchateng</w:t>
      </w:r>
      <w:proofErr w:type="spellEnd"/>
      <w:r w:rsidRPr="006D427B">
        <w:rPr>
          <w:rFonts w:cs="Arial"/>
          <w:lang w:eastAsia="en-IE"/>
        </w:rPr>
        <w:t xml:space="preserve">, 2008; </w:t>
      </w:r>
      <w:proofErr w:type="spellStart"/>
      <w:r w:rsidRPr="006D427B">
        <w:rPr>
          <w:rFonts w:cs="Arial"/>
          <w:lang w:eastAsia="en-IE"/>
        </w:rPr>
        <w:t>Wetchateng</w:t>
      </w:r>
      <w:proofErr w:type="spellEnd"/>
      <w:r w:rsidRPr="006D427B">
        <w:rPr>
          <w:rFonts w:cs="Arial"/>
          <w:lang w:eastAsia="en-IE"/>
        </w:rPr>
        <w:t xml:space="preserve"> </w:t>
      </w:r>
      <w:r w:rsidRPr="006D427B">
        <w:rPr>
          <w:rFonts w:cs="Arial"/>
          <w:i/>
          <w:iCs/>
          <w:lang w:eastAsia="en-IE"/>
        </w:rPr>
        <w:t>et al</w:t>
      </w:r>
      <w:r w:rsidRPr="006D427B">
        <w:rPr>
          <w:rFonts w:cs="Arial"/>
          <w:lang w:eastAsia="en-IE"/>
        </w:rPr>
        <w:t>., 2010).</w:t>
      </w:r>
    </w:p>
    <w:p w14:paraId="26373258" w14:textId="49061EC2" w:rsidR="00ED0F29" w:rsidRPr="006D427B" w:rsidRDefault="00ED0F29" w:rsidP="00ED0F29">
      <w:pPr>
        <w:pStyle w:val="1110"/>
      </w:pPr>
      <w:r w:rsidRPr="006D427B">
        <w:t>2.3.2.</w:t>
      </w:r>
      <w:r w:rsidRPr="006D427B">
        <w:tab/>
        <w:t>Clinical signs, including behavioural changes</w:t>
      </w:r>
    </w:p>
    <w:p w14:paraId="5E9A1A44" w14:textId="04904CA0" w:rsidR="00B7063A" w:rsidRPr="006D427B" w:rsidRDefault="006328D8" w:rsidP="1CB7C097">
      <w:pPr>
        <w:pStyle w:val="1110"/>
        <w:ind w:firstLine="0"/>
        <w:rPr>
          <w:rFonts w:ascii="Söhne" w:hAnsi="Söhne"/>
          <w:sz w:val="18"/>
          <w:szCs w:val="18"/>
        </w:rPr>
      </w:pPr>
      <w:r w:rsidRPr="006D427B">
        <w:rPr>
          <w:rFonts w:ascii="Söhne" w:hAnsi="Söhne"/>
          <w:sz w:val="18"/>
          <w:szCs w:val="18"/>
          <w:lang w:val="en-ZA"/>
        </w:rPr>
        <w:t xml:space="preserve">This intracellular pathogen infects the gastrointestinal epithelial cells, leading to clinical signs of starvation, including pedal and digestive gland atrophy. </w:t>
      </w:r>
      <w:r w:rsidRPr="006D427B">
        <w:rPr>
          <w:rFonts w:ascii="Söhne" w:hAnsi="Söhne"/>
          <w:sz w:val="18"/>
          <w:szCs w:val="18"/>
        </w:rPr>
        <w:t xml:space="preserve">Abalones with </w:t>
      </w:r>
      <w:r w:rsidRPr="006D427B">
        <w:rPr>
          <w:rFonts w:ascii="Söhne" w:hAnsi="Söhne"/>
          <w:i/>
          <w:iCs/>
          <w:sz w:val="18"/>
          <w:szCs w:val="18"/>
        </w:rPr>
        <w:t>X.</w:t>
      </w:r>
      <w:r w:rsidR="00FC6926" w:rsidRPr="006D427B">
        <w:rPr>
          <w:rFonts w:ascii="Söhne" w:hAnsi="Söhne"/>
          <w:i/>
          <w:iCs/>
          <w:sz w:val="18"/>
          <w:szCs w:val="18"/>
        </w:rPr>
        <w:t> </w:t>
      </w:r>
      <w:r w:rsidRPr="006D427B">
        <w:rPr>
          <w:rFonts w:ascii="Söhne" w:hAnsi="Söhne"/>
          <w:i/>
          <w:iCs/>
          <w:sz w:val="18"/>
          <w:szCs w:val="18"/>
        </w:rPr>
        <w:t xml:space="preserve">californiensis </w:t>
      </w:r>
      <w:r w:rsidRPr="006D427B">
        <w:rPr>
          <w:rFonts w:ascii="Söhne" w:hAnsi="Söhne"/>
          <w:sz w:val="18"/>
          <w:szCs w:val="18"/>
        </w:rPr>
        <w:t xml:space="preserve">infections may be sub-clinically infected during the prepatent period or at water temperatures </w:t>
      </w:r>
      <w:r w:rsidRPr="006D427B">
        <w:rPr>
          <w:rFonts w:ascii="Cambria Math" w:hAnsi="Cambria Math" w:cs="Cambria Math"/>
          <w:sz w:val="18"/>
          <w:szCs w:val="18"/>
        </w:rPr>
        <w:t>≤</w:t>
      </w:r>
      <w:r w:rsidRPr="006D427B">
        <w:rPr>
          <w:rFonts w:ascii="Söhne" w:hAnsi="Söhne"/>
          <w:sz w:val="18"/>
          <w:szCs w:val="18"/>
        </w:rPr>
        <w:t>15</w:t>
      </w:r>
      <w:r w:rsidRPr="006D427B">
        <w:rPr>
          <w:rFonts w:ascii="Söhne" w:hAnsi="Söhne" w:cs="Söhne"/>
          <w:sz w:val="18"/>
          <w:szCs w:val="18"/>
        </w:rPr>
        <w:t>°</w:t>
      </w:r>
      <w:r w:rsidRPr="006D427B">
        <w:rPr>
          <w:rFonts w:ascii="Söhne" w:hAnsi="Söhne"/>
          <w:sz w:val="18"/>
          <w:szCs w:val="18"/>
        </w:rPr>
        <w:t>C. Infected individuals may be slightly to severely emaciated (atrophied) under permissive water temperatures.</w:t>
      </w:r>
    </w:p>
    <w:p w14:paraId="6E203062" w14:textId="2742614E" w:rsidR="006328D8" w:rsidRPr="006D427B" w:rsidRDefault="006328D8" w:rsidP="1766AC1A">
      <w:pPr>
        <w:pStyle w:val="Para3"/>
        <w:rPr>
          <w:lang w:val="en-GB"/>
        </w:rPr>
      </w:pPr>
      <w:r w:rsidRPr="006D427B">
        <w:rPr>
          <w:lang w:val="en-GB"/>
        </w:rPr>
        <w:t xml:space="preserve">During an epidemic, affected abalones will often cling to horizontal (as opposed to vertical or inverted) substrates and appear weak (easily removed from the substrate by hand) and emaciated (withered) (Haaker </w:t>
      </w:r>
      <w:r w:rsidR="0082302B" w:rsidRPr="006D427B">
        <w:rPr>
          <w:i/>
          <w:iCs/>
          <w:lang w:val="en-GB"/>
        </w:rPr>
        <w:t>et al</w:t>
      </w:r>
      <w:r w:rsidRPr="006D427B">
        <w:rPr>
          <w:lang w:val="en-GB"/>
        </w:rPr>
        <w:t xml:space="preserve">., 1992). Farmed abalones will also be anorexic. In addition, the presence of an abnormally high number of fresh shells may also indicate disease. </w:t>
      </w:r>
    </w:p>
    <w:p w14:paraId="0256BF71" w14:textId="77777777" w:rsidR="00B854E8" w:rsidRPr="006D427B" w:rsidRDefault="00B854E8" w:rsidP="00B854E8">
      <w:pPr>
        <w:pStyle w:val="1110"/>
      </w:pPr>
      <w:r w:rsidRPr="006D427B">
        <w:t>2.3.3</w:t>
      </w:r>
      <w:r w:rsidRPr="006D427B">
        <w:tab/>
        <w:t>Gross pathology</w:t>
      </w:r>
    </w:p>
    <w:p w14:paraId="54FB103E" w14:textId="7F5252A0" w:rsidR="00B854E8" w:rsidRPr="006D427B" w:rsidRDefault="006E3536" w:rsidP="0081545C">
      <w:pPr>
        <w:pStyle w:val="Para3"/>
        <w:rPr>
          <w:rFonts w:cs="Arial"/>
          <w:lang w:eastAsia="fr-FR"/>
        </w:rPr>
      </w:pPr>
      <w:r w:rsidRPr="006D427B">
        <w:rPr>
          <w:rStyle w:val="normaltextrun"/>
          <w:rFonts w:cs="Arial"/>
          <w:szCs w:val="18"/>
        </w:rPr>
        <w:t xml:space="preserve">Clinical disease is characterised by morphological changes in the digestive gland, which vary between species and may include degeneration (atrophy of tubules, increase in connective tissues and inflammation) and/or metaplasia of the digestive tubules. Metaplasia involves the replacement of terminal secretory/absorptive acini with absorptive/transport ducts similar in appearance to the post-oesophagus. These morphological changes are accompanied by anorexia, depletion of glycogen reserves, followed by use of the foot muscle as an energy source and subsequent death (Balseiro </w:t>
      </w:r>
      <w:r w:rsidR="0082302B" w:rsidRPr="006D427B">
        <w:rPr>
          <w:rStyle w:val="normaltextrun"/>
          <w:rFonts w:cs="Arial"/>
          <w:i/>
          <w:szCs w:val="18"/>
        </w:rPr>
        <w:t>et al</w:t>
      </w:r>
      <w:r w:rsidRPr="006D427B">
        <w:rPr>
          <w:rStyle w:val="normaltextrun"/>
          <w:rFonts w:cs="Arial"/>
          <w:szCs w:val="18"/>
        </w:rPr>
        <w:t xml:space="preserve">., 2006; Braid </w:t>
      </w:r>
      <w:r w:rsidR="0082302B" w:rsidRPr="006D427B">
        <w:rPr>
          <w:rStyle w:val="normaltextrun"/>
          <w:rFonts w:cs="Arial"/>
          <w:i/>
          <w:szCs w:val="18"/>
        </w:rPr>
        <w:t>et al</w:t>
      </w:r>
      <w:r w:rsidRPr="006D427B">
        <w:rPr>
          <w:rStyle w:val="normaltextrun"/>
          <w:rFonts w:cs="Arial"/>
          <w:szCs w:val="18"/>
        </w:rPr>
        <w:t xml:space="preserve">., 2005; Friedman </w:t>
      </w:r>
      <w:r w:rsidR="0082302B" w:rsidRPr="006D427B">
        <w:rPr>
          <w:rStyle w:val="normaltextrun"/>
          <w:rFonts w:cs="Arial"/>
          <w:i/>
          <w:szCs w:val="18"/>
        </w:rPr>
        <w:t>et al</w:t>
      </w:r>
      <w:r w:rsidRPr="006D427B">
        <w:rPr>
          <w:rStyle w:val="normaltextrun"/>
          <w:rFonts w:cs="Arial"/>
          <w:szCs w:val="18"/>
        </w:rPr>
        <w:t xml:space="preserve">., 1997; 2007; </w:t>
      </w:r>
      <w:proofErr w:type="spellStart"/>
      <w:r w:rsidRPr="006D427B">
        <w:rPr>
          <w:rStyle w:val="normaltextrun"/>
          <w:rFonts w:cs="Arial"/>
          <w:szCs w:val="18"/>
        </w:rPr>
        <w:t>Kismohandaka</w:t>
      </w:r>
      <w:proofErr w:type="spellEnd"/>
      <w:r w:rsidRPr="006D427B">
        <w:rPr>
          <w:rStyle w:val="normaltextrun"/>
          <w:rFonts w:cs="Arial"/>
          <w:szCs w:val="18"/>
        </w:rPr>
        <w:t xml:space="preserve"> </w:t>
      </w:r>
      <w:r w:rsidR="0082302B" w:rsidRPr="006D427B">
        <w:rPr>
          <w:rStyle w:val="normaltextrun"/>
          <w:rFonts w:cs="Arial"/>
          <w:i/>
          <w:szCs w:val="18"/>
        </w:rPr>
        <w:t>et al</w:t>
      </w:r>
      <w:r w:rsidRPr="006D427B">
        <w:rPr>
          <w:rStyle w:val="normaltextrun"/>
          <w:rFonts w:cs="Arial"/>
          <w:szCs w:val="18"/>
        </w:rPr>
        <w:t xml:space="preserve">., 1995; Moore </w:t>
      </w:r>
      <w:r w:rsidR="0082302B" w:rsidRPr="006D427B">
        <w:rPr>
          <w:rStyle w:val="normaltextrun"/>
          <w:rFonts w:cs="Arial"/>
          <w:i/>
          <w:szCs w:val="18"/>
        </w:rPr>
        <w:t>et al</w:t>
      </w:r>
      <w:r w:rsidRPr="006D427B">
        <w:rPr>
          <w:rStyle w:val="normaltextrun"/>
          <w:rFonts w:cs="Arial"/>
          <w:szCs w:val="18"/>
        </w:rPr>
        <w:t xml:space="preserve">., 2000; </w:t>
      </w:r>
      <w:r w:rsidR="005A7BF5" w:rsidRPr="006D427B">
        <w:rPr>
          <w:rStyle w:val="normaltextrun"/>
          <w:rFonts w:cs="Arial"/>
          <w:szCs w:val="18"/>
        </w:rPr>
        <w:t>2001</w:t>
      </w:r>
      <w:r w:rsidRPr="006D427B">
        <w:rPr>
          <w:rStyle w:val="normaltextrun"/>
          <w:rFonts w:cs="Arial"/>
          <w:szCs w:val="18"/>
        </w:rPr>
        <w:t xml:space="preserve">). The foot of affected abalones contains fewer and less organised muscle bundles, abundant connective tissue and may contain more cerous cells than unaffected individuals (Friedman </w:t>
      </w:r>
      <w:r w:rsidR="0082302B" w:rsidRPr="006D427B">
        <w:rPr>
          <w:rStyle w:val="normaltextrun"/>
          <w:rFonts w:cs="Arial"/>
          <w:i/>
          <w:szCs w:val="18"/>
        </w:rPr>
        <w:t>et al</w:t>
      </w:r>
      <w:r w:rsidRPr="006D427B">
        <w:rPr>
          <w:rStyle w:val="normaltextrun"/>
          <w:rFonts w:cs="Arial"/>
          <w:szCs w:val="18"/>
        </w:rPr>
        <w:t xml:space="preserve">., 2007; Moore </w:t>
      </w:r>
      <w:r w:rsidR="0082302B" w:rsidRPr="006D427B">
        <w:rPr>
          <w:rStyle w:val="normaltextrun"/>
          <w:rFonts w:cs="Arial"/>
          <w:i/>
          <w:szCs w:val="18"/>
        </w:rPr>
        <w:t>et al</w:t>
      </w:r>
      <w:r w:rsidRPr="006D427B">
        <w:rPr>
          <w:rStyle w:val="normaltextrun"/>
          <w:rFonts w:cs="Arial"/>
          <w:szCs w:val="18"/>
        </w:rPr>
        <w:t xml:space="preserve">., 2000; Van Blaricom </w:t>
      </w:r>
      <w:r w:rsidR="0082302B" w:rsidRPr="006D427B">
        <w:rPr>
          <w:rStyle w:val="normaltextrun"/>
          <w:rFonts w:cs="Arial"/>
          <w:i/>
          <w:szCs w:val="18"/>
        </w:rPr>
        <w:t>et al</w:t>
      </w:r>
      <w:r w:rsidRPr="006D427B">
        <w:rPr>
          <w:rStyle w:val="normaltextrun"/>
          <w:rFonts w:cs="Arial"/>
          <w:szCs w:val="18"/>
        </w:rPr>
        <w:t>., 1993). Surviving abalones appear to remain infected, even in low water temperature environments, such as in northern California (Friedman &amp; Finley, 2003).</w:t>
      </w:r>
    </w:p>
    <w:p w14:paraId="3EAAEB39" w14:textId="77777777" w:rsidR="00B854E8" w:rsidRPr="006D427B" w:rsidRDefault="00B854E8" w:rsidP="00B854E8">
      <w:pPr>
        <w:pStyle w:val="1110"/>
        <w:rPr>
          <w:lang w:val="en-IE"/>
        </w:rPr>
      </w:pPr>
      <w:r w:rsidRPr="006D427B">
        <w:rPr>
          <w:lang w:val="en-IE"/>
        </w:rPr>
        <w:t>2.3.4.</w:t>
      </w:r>
      <w:r w:rsidRPr="006D427B">
        <w:rPr>
          <w:lang w:val="en-IE"/>
        </w:rPr>
        <w:tab/>
        <w:t>Modes of transmission and life cycle</w:t>
      </w:r>
    </w:p>
    <w:p w14:paraId="3E0ECC3D" w14:textId="55816798" w:rsidR="00B854E8" w:rsidRDefault="00B7063A" w:rsidP="00B854E8">
      <w:pPr>
        <w:pStyle w:val="Para3"/>
        <w:rPr>
          <w:rFonts w:cs="Arial"/>
        </w:rPr>
      </w:pPr>
      <w:r w:rsidRPr="370A01A3">
        <w:rPr>
          <w:rFonts w:cs="Arial"/>
        </w:rPr>
        <w:t xml:space="preserve">Transmission of </w:t>
      </w:r>
      <w:r w:rsidRPr="370A01A3">
        <w:rPr>
          <w:rFonts w:cs="Arial"/>
          <w:i/>
          <w:iCs/>
        </w:rPr>
        <w:t>X. californiensis</w:t>
      </w:r>
      <w:r w:rsidRPr="370A01A3">
        <w:rPr>
          <w:rFonts w:cs="Arial"/>
        </w:rPr>
        <w:t xml:space="preserve"> is horizontal and is postulated to be via a faecal–</w:t>
      </w:r>
      <w:r w:rsidRPr="006469A5">
        <w:rPr>
          <w:rFonts w:cs="Arial"/>
        </w:rPr>
        <w:t xml:space="preserve">oral route. Exposure of abalones to seawater containing infectious material is sufficient for transmission of the bacterium, and no direct animal contact is required (Balseiro </w:t>
      </w:r>
      <w:r w:rsidR="0082302B" w:rsidRPr="006469A5">
        <w:rPr>
          <w:rFonts w:cs="Arial"/>
          <w:i/>
          <w:iCs/>
        </w:rPr>
        <w:t>et al</w:t>
      </w:r>
      <w:r w:rsidRPr="006469A5">
        <w:rPr>
          <w:rFonts w:cs="Arial"/>
        </w:rPr>
        <w:t xml:space="preserve">., 2006; Braid </w:t>
      </w:r>
      <w:r w:rsidR="0082302B" w:rsidRPr="006469A5">
        <w:rPr>
          <w:rFonts w:cs="Arial"/>
          <w:i/>
          <w:iCs/>
        </w:rPr>
        <w:t>et al</w:t>
      </w:r>
      <w:r w:rsidRPr="006469A5">
        <w:rPr>
          <w:rFonts w:cs="Arial"/>
        </w:rPr>
        <w:t xml:space="preserve">., 2005; Friedman </w:t>
      </w:r>
      <w:r w:rsidR="0082302B" w:rsidRPr="006469A5">
        <w:rPr>
          <w:rFonts w:cs="Arial"/>
          <w:i/>
          <w:iCs/>
        </w:rPr>
        <w:t>et</w:t>
      </w:r>
      <w:r w:rsidR="0082302B" w:rsidRPr="370A01A3">
        <w:rPr>
          <w:rFonts w:cs="Arial"/>
          <w:i/>
          <w:iCs/>
        </w:rPr>
        <w:t xml:space="preserve"> al</w:t>
      </w:r>
      <w:r w:rsidRPr="370A01A3">
        <w:rPr>
          <w:rFonts w:cs="Arial"/>
        </w:rPr>
        <w:t>., 2002;</w:t>
      </w:r>
      <w:r w:rsidR="00C741DA">
        <w:rPr>
          <w:rFonts w:cs="Arial"/>
        </w:rPr>
        <w:t xml:space="preserve"> </w:t>
      </w:r>
      <w:r w:rsidR="00C741DA" w:rsidRPr="0048710B">
        <w:rPr>
          <w:rFonts w:cs="Arial"/>
          <w:color w:val="0000CC"/>
        </w:rPr>
        <w:t>200</w:t>
      </w:r>
      <w:r w:rsidR="0048710B" w:rsidRPr="0048710B">
        <w:rPr>
          <w:rFonts w:cs="Arial"/>
          <w:color w:val="0000CC"/>
        </w:rPr>
        <w:t>7</w:t>
      </w:r>
      <w:r w:rsidR="00C741DA" w:rsidRPr="0048710B">
        <w:rPr>
          <w:rFonts w:cs="Arial"/>
          <w:color w:val="0000CC"/>
        </w:rPr>
        <w:t>;</w:t>
      </w:r>
      <w:r w:rsidR="00C741DA" w:rsidRPr="370A01A3">
        <w:rPr>
          <w:rFonts w:cs="Arial"/>
        </w:rPr>
        <w:t xml:space="preserve"> </w:t>
      </w:r>
      <w:r w:rsidRPr="370A01A3">
        <w:rPr>
          <w:rFonts w:cs="Arial"/>
        </w:rPr>
        <w:t xml:space="preserve">Moore </w:t>
      </w:r>
      <w:r w:rsidR="0082302B" w:rsidRPr="370A01A3">
        <w:rPr>
          <w:rFonts w:cs="Arial"/>
          <w:i/>
          <w:iCs/>
        </w:rPr>
        <w:t>et al</w:t>
      </w:r>
      <w:r w:rsidRPr="370A01A3">
        <w:rPr>
          <w:rFonts w:cs="Arial"/>
        </w:rPr>
        <w:t xml:space="preserve">., 2000; </w:t>
      </w:r>
      <w:r w:rsidR="005A7BF5" w:rsidRPr="370A01A3">
        <w:rPr>
          <w:rFonts w:cs="Arial"/>
        </w:rPr>
        <w:t>2001</w:t>
      </w:r>
      <w:r w:rsidR="0048710B">
        <w:rPr>
          <w:rFonts w:cs="Arial"/>
        </w:rPr>
        <w:t xml:space="preserve">; </w:t>
      </w:r>
      <w:r w:rsidR="0048710B" w:rsidRPr="0048710B">
        <w:rPr>
          <w:rFonts w:cs="Arial"/>
          <w:color w:val="0000CC"/>
          <w:lang w:val="fr-FR"/>
        </w:rPr>
        <w:t xml:space="preserve">Rosenblum </w:t>
      </w:r>
      <w:r w:rsidR="0048710B" w:rsidRPr="0048710B">
        <w:rPr>
          <w:rFonts w:cs="Arial"/>
          <w:i/>
          <w:iCs/>
          <w:color w:val="0000CC"/>
          <w:lang w:val="fr-FR"/>
        </w:rPr>
        <w:t>et al</w:t>
      </w:r>
      <w:r w:rsidR="0048710B" w:rsidRPr="0048710B">
        <w:rPr>
          <w:rFonts w:cs="Arial"/>
          <w:color w:val="0000CC"/>
          <w:lang w:val="fr-FR"/>
        </w:rPr>
        <w:t>., 2008</w:t>
      </w:r>
      <w:r w:rsidRPr="370A01A3">
        <w:rPr>
          <w:rFonts w:cs="Arial"/>
        </w:rPr>
        <w:t xml:space="preserve">). Temperatures below 13°C have been demonstrated to limit transmission of the bacterium (i.e. less than 1% transmission) relative to those held at ~18°C (72–94% transmission) (Braid </w:t>
      </w:r>
      <w:r w:rsidR="0082302B" w:rsidRPr="370A01A3">
        <w:rPr>
          <w:rFonts w:cs="Arial"/>
          <w:i/>
          <w:iCs/>
        </w:rPr>
        <w:t>et al</w:t>
      </w:r>
      <w:r w:rsidRPr="370A01A3">
        <w:rPr>
          <w:rFonts w:cs="Arial"/>
        </w:rPr>
        <w:t>., 2005).</w:t>
      </w:r>
    </w:p>
    <w:p w14:paraId="45016D8D" w14:textId="77777777" w:rsidR="0000350A"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 xml:space="preserve">Category: </w:t>
      </w:r>
      <w:r w:rsidRPr="00F2544B">
        <w:rPr>
          <w:rFonts w:cs="Arial"/>
          <w:lang w:val="en-US"/>
        </w:rPr>
        <w:t>[addition, deletion, change, editorial, general] </w:t>
      </w:r>
    </w:p>
    <w:p w14:paraId="62D498B5" w14:textId="086EE9C2"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Edi</w:t>
      </w:r>
      <w:r w:rsidR="00C741DA">
        <w:rPr>
          <w:rFonts w:cs="Arial"/>
          <w:lang w:val="en-US"/>
        </w:rPr>
        <w:t>torial</w:t>
      </w:r>
    </w:p>
    <w:p w14:paraId="10F33378" w14:textId="77777777"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p>
    <w:p w14:paraId="5D0A42A8" w14:textId="77777777"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Proposed amended texts (or precise suggested deletion):</w:t>
      </w:r>
      <w:r w:rsidRPr="00F2544B">
        <w:rPr>
          <w:rFonts w:cs="Arial"/>
          <w:lang w:val="en-US"/>
        </w:rPr>
        <w:t> </w:t>
      </w:r>
    </w:p>
    <w:p w14:paraId="6DAC0C7B" w14:textId="765F2FFE"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Please see specific edit</w:t>
      </w:r>
      <w:r w:rsidR="001E75B6">
        <w:rPr>
          <w:rFonts w:cs="Arial"/>
          <w:lang w:val="en-US"/>
        </w:rPr>
        <w:t>s</w:t>
      </w:r>
      <w:r>
        <w:rPr>
          <w:rFonts w:cs="Arial"/>
          <w:lang w:val="en-US"/>
        </w:rPr>
        <w:t xml:space="preserve"> in blue above</w:t>
      </w:r>
      <w:r w:rsidR="001E75B6">
        <w:rPr>
          <w:rFonts w:cs="Arial"/>
          <w:lang w:val="en-US"/>
        </w:rPr>
        <w:t xml:space="preserve"> to 2.3.4.</w:t>
      </w:r>
    </w:p>
    <w:p w14:paraId="7C67C8A2" w14:textId="77777777"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lang w:val="en-US"/>
        </w:rPr>
        <w:t> </w:t>
      </w:r>
    </w:p>
    <w:p w14:paraId="3488FC18" w14:textId="77777777"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Rationale:</w:t>
      </w:r>
      <w:r w:rsidRPr="00F2544B">
        <w:rPr>
          <w:rFonts w:cs="Arial"/>
          <w:lang w:val="en-US"/>
        </w:rPr>
        <w:t> </w:t>
      </w:r>
    </w:p>
    <w:p w14:paraId="063BE755" w14:textId="7EFD6DEA"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 xml:space="preserve">We request </w:t>
      </w:r>
      <w:r w:rsidR="0048710B">
        <w:rPr>
          <w:rFonts w:cs="Arial"/>
          <w:lang w:val="en-US"/>
        </w:rPr>
        <w:t xml:space="preserve">the list of references to include some of the other </w:t>
      </w:r>
      <w:r w:rsidR="006F33AB">
        <w:rPr>
          <w:rFonts w:cs="Arial"/>
          <w:lang w:val="en-US"/>
        </w:rPr>
        <w:t xml:space="preserve">papers referenced in 2.1.3. above, which also </w:t>
      </w:r>
      <w:proofErr w:type="gramStart"/>
      <w:r w:rsidR="006F33AB">
        <w:rPr>
          <w:rFonts w:cs="Arial"/>
          <w:lang w:val="en-US"/>
        </w:rPr>
        <w:t>apply</w:t>
      </w:r>
      <w:proofErr w:type="gramEnd"/>
      <w:r w:rsidR="006F33AB">
        <w:rPr>
          <w:rFonts w:cs="Arial"/>
          <w:lang w:val="en-US"/>
        </w:rPr>
        <w:t xml:space="preserve"> to 2.3.4. </w:t>
      </w:r>
      <w:r>
        <w:rPr>
          <w:rFonts w:cs="Arial"/>
          <w:lang w:val="en-US"/>
        </w:rPr>
        <w:t xml:space="preserve"> </w:t>
      </w:r>
    </w:p>
    <w:p w14:paraId="43266DB6" w14:textId="77777777" w:rsidR="0000350A" w:rsidRPr="00F2544B" w:rsidRDefault="0000350A" w:rsidP="0000350A">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lang w:val="en-US"/>
        </w:rPr>
        <w:t> </w:t>
      </w:r>
    </w:p>
    <w:p w14:paraId="1C8F6AD0" w14:textId="77777777" w:rsidR="0000350A" w:rsidRPr="0000350A" w:rsidRDefault="0000350A" w:rsidP="00B854E8">
      <w:pPr>
        <w:pStyle w:val="Para3"/>
        <w:rPr>
          <w:rFonts w:cs="Arial"/>
          <w:lang w:val="en-US"/>
        </w:rPr>
      </w:pPr>
    </w:p>
    <w:p w14:paraId="58BE1487" w14:textId="77777777" w:rsidR="00B854E8" w:rsidRPr="006D427B" w:rsidRDefault="00B854E8" w:rsidP="00B854E8">
      <w:pPr>
        <w:pStyle w:val="1110"/>
        <w:rPr>
          <w:lang w:val="en-IE"/>
        </w:rPr>
      </w:pPr>
      <w:r w:rsidRPr="006D427B">
        <w:rPr>
          <w:lang w:val="en-IE"/>
        </w:rPr>
        <w:t>2.3.5.</w:t>
      </w:r>
      <w:r w:rsidRPr="006D427B">
        <w:rPr>
          <w:lang w:val="en-IE"/>
        </w:rPr>
        <w:tab/>
        <w:t xml:space="preserve">Environmental factors </w:t>
      </w:r>
    </w:p>
    <w:p w14:paraId="0F266D1E" w14:textId="5640D9B8" w:rsidR="00B854E8" w:rsidRPr="006D427B" w:rsidRDefault="00B7063A" w:rsidP="00B854E8">
      <w:pPr>
        <w:pStyle w:val="Para3"/>
        <w:rPr>
          <w:rFonts w:cs="Arial"/>
        </w:rPr>
      </w:pPr>
      <w:r w:rsidRPr="006D427B">
        <w:rPr>
          <w:rFonts w:cs="Arial"/>
        </w:rPr>
        <w:t xml:space="preserve">Disease (withering syndrome) occurs at elevated water temperatures (~18–25°C in abalones with moderate to severe infections (Braid </w:t>
      </w:r>
      <w:r w:rsidR="0082302B" w:rsidRPr="006D427B">
        <w:rPr>
          <w:rFonts w:cs="Arial"/>
          <w:i/>
        </w:rPr>
        <w:t>et al</w:t>
      </w:r>
      <w:r w:rsidRPr="006D427B">
        <w:rPr>
          <w:rFonts w:cs="Arial"/>
        </w:rPr>
        <w:t xml:space="preserve">., 2005; Friedman </w:t>
      </w:r>
      <w:r w:rsidR="0082302B" w:rsidRPr="006D427B">
        <w:rPr>
          <w:rFonts w:cs="Arial"/>
          <w:i/>
        </w:rPr>
        <w:t>et al</w:t>
      </w:r>
      <w:r w:rsidRPr="006D427B">
        <w:rPr>
          <w:rFonts w:cs="Arial"/>
        </w:rPr>
        <w:t xml:space="preserve">., 2000; 2002; Moore </w:t>
      </w:r>
      <w:r w:rsidR="0082302B" w:rsidRPr="006D427B">
        <w:rPr>
          <w:rFonts w:cs="Arial"/>
          <w:i/>
        </w:rPr>
        <w:t>et al</w:t>
      </w:r>
      <w:r w:rsidRPr="006D427B">
        <w:rPr>
          <w:rFonts w:cs="Arial"/>
        </w:rPr>
        <w:t xml:space="preserve">., 2000; 2011; Rosenblum </w:t>
      </w:r>
      <w:r w:rsidR="0082302B" w:rsidRPr="006D427B">
        <w:rPr>
          <w:rFonts w:cs="Arial"/>
          <w:i/>
        </w:rPr>
        <w:t>et al</w:t>
      </w:r>
      <w:r w:rsidRPr="006D427B">
        <w:rPr>
          <w:rFonts w:cs="Arial"/>
        </w:rPr>
        <w:t>., 2008). Parasite transmission is enhanced in fed (94%) as opposed to starved</w:t>
      </w:r>
      <w:r w:rsidR="00B854E8" w:rsidRPr="006D427B">
        <w:rPr>
          <w:rFonts w:cs="Arial"/>
        </w:rPr>
        <w:t>.</w:t>
      </w:r>
      <w:r w:rsidRPr="006D427B">
        <w:rPr>
          <w:rFonts w:cs="Arial"/>
        </w:rPr>
        <w:t xml:space="preserve"> (72%) abalones (Balseiro </w:t>
      </w:r>
      <w:r w:rsidR="0082302B" w:rsidRPr="006D427B">
        <w:rPr>
          <w:rFonts w:cs="Arial"/>
          <w:i/>
        </w:rPr>
        <w:t>et al</w:t>
      </w:r>
      <w:r w:rsidRPr="006D427B">
        <w:rPr>
          <w:rFonts w:cs="Arial"/>
        </w:rPr>
        <w:t xml:space="preserve">., 2006; Braid </w:t>
      </w:r>
      <w:r w:rsidR="0082302B" w:rsidRPr="006D427B">
        <w:rPr>
          <w:rFonts w:cs="Arial"/>
          <w:i/>
        </w:rPr>
        <w:t>et al</w:t>
      </w:r>
      <w:r w:rsidRPr="006D427B">
        <w:rPr>
          <w:rFonts w:cs="Arial"/>
        </w:rPr>
        <w:t xml:space="preserve">., 2005). Subclinical infections have been observed in </w:t>
      </w:r>
      <w:r w:rsidRPr="006D427B">
        <w:rPr>
          <w:rFonts w:cs="Arial"/>
          <w:i/>
          <w:iCs/>
        </w:rPr>
        <w:t xml:space="preserve">H. </w:t>
      </w:r>
      <w:proofErr w:type="spellStart"/>
      <w:r w:rsidRPr="006D427B">
        <w:rPr>
          <w:rFonts w:cs="Arial"/>
          <w:i/>
          <w:iCs/>
        </w:rPr>
        <w:t>diversicolor</w:t>
      </w:r>
      <w:proofErr w:type="spellEnd"/>
      <w:r w:rsidRPr="006D427B">
        <w:rPr>
          <w:rFonts w:cs="Arial"/>
          <w:i/>
          <w:iCs/>
        </w:rPr>
        <w:t xml:space="preserve"> </w:t>
      </w:r>
      <w:proofErr w:type="spellStart"/>
      <w:r w:rsidRPr="006D427B">
        <w:rPr>
          <w:rFonts w:cs="Arial"/>
          <w:i/>
          <w:iCs/>
        </w:rPr>
        <w:t>supertexta</w:t>
      </w:r>
      <w:proofErr w:type="spellEnd"/>
      <w:r w:rsidRPr="006D427B">
        <w:rPr>
          <w:rFonts w:cs="Arial"/>
        </w:rPr>
        <w:t xml:space="preserve"> raised at 27–29°C. As abalones are obligate marine species, salinity tolerances of the Rickettsia-like organism (RLO) have not been investigated.</w:t>
      </w:r>
    </w:p>
    <w:p w14:paraId="5034C4DB" w14:textId="77777777" w:rsidR="00B854E8" w:rsidRPr="006D427B" w:rsidRDefault="00B854E8" w:rsidP="00B854E8">
      <w:pPr>
        <w:pStyle w:val="1110"/>
        <w:rPr>
          <w:lang w:val="en-IE"/>
        </w:rPr>
      </w:pPr>
      <w:r w:rsidRPr="006D427B">
        <w:rPr>
          <w:lang w:val="en-IE"/>
        </w:rPr>
        <w:t>2.3.6.</w:t>
      </w:r>
      <w:r w:rsidRPr="006D427B">
        <w:rPr>
          <w:lang w:val="en-IE"/>
        </w:rPr>
        <w:tab/>
        <w:t>Geographical distribution</w:t>
      </w:r>
    </w:p>
    <w:p w14:paraId="1370DECD" w14:textId="3CBC2A3B" w:rsidR="00B854E8" w:rsidRPr="006D427B" w:rsidRDefault="00B7063A" w:rsidP="00B854E8">
      <w:pPr>
        <w:pStyle w:val="Para3"/>
        <w:rPr>
          <w:rFonts w:cs="Arial"/>
          <w:lang w:eastAsia="fr-FR"/>
        </w:rPr>
      </w:pPr>
      <w:r w:rsidRPr="006D427B">
        <w:rPr>
          <w:rFonts w:cs="Arial"/>
          <w:i/>
          <w:iCs/>
          <w:lang w:eastAsia="fr-FR"/>
        </w:rPr>
        <w:t>Xenohaliotis californiensis</w:t>
      </w:r>
      <w:r w:rsidRPr="006D427B">
        <w:rPr>
          <w:rFonts w:cs="Arial"/>
          <w:lang w:eastAsia="fr-FR"/>
        </w:rPr>
        <w:t xml:space="preserve"> occurs along the south-west coast of North America. However, as infected abalones have been transported to </w:t>
      </w:r>
      <w:r w:rsidR="007957D3" w:rsidRPr="006D427B">
        <w:rPr>
          <w:rFonts w:cs="Arial"/>
          <w:lang w:eastAsia="fr-FR"/>
        </w:rPr>
        <w:t>South America, Asia-Pacific</w:t>
      </w:r>
      <w:r w:rsidRPr="006D427B">
        <w:rPr>
          <w:rFonts w:cs="Arial"/>
          <w:lang w:eastAsia="fr-FR"/>
        </w:rPr>
        <w:t xml:space="preserve">, </w:t>
      </w:r>
      <w:r w:rsidR="007957D3" w:rsidRPr="006D427B">
        <w:rPr>
          <w:rFonts w:cs="Arial"/>
          <w:lang w:eastAsia="fr-FR"/>
        </w:rPr>
        <w:t>and Europe</w:t>
      </w:r>
      <w:r w:rsidRPr="006D427B">
        <w:rPr>
          <w:rFonts w:cs="Arial"/>
          <w:lang w:eastAsia="fr-FR"/>
        </w:rPr>
        <w:t xml:space="preserve"> and possibly other </w:t>
      </w:r>
      <w:r w:rsidR="007957D3" w:rsidRPr="006D427B">
        <w:rPr>
          <w:rFonts w:cs="Arial"/>
          <w:lang w:eastAsia="fr-FR"/>
        </w:rPr>
        <w:t>regions</w:t>
      </w:r>
      <w:r w:rsidRPr="006D427B">
        <w:rPr>
          <w:rFonts w:cs="Arial"/>
          <w:lang w:eastAsia="fr-FR"/>
        </w:rPr>
        <w:t xml:space="preserve">, the geographical range of the aetiological agent is suspected to be broad where California red abalones, </w:t>
      </w:r>
      <w:r w:rsidRPr="006D427B">
        <w:rPr>
          <w:rFonts w:cs="Arial"/>
          <w:i/>
          <w:iCs/>
          <w:lang w:eastAsia="fr-FR"/>
        </w:rPr>
        <w:t>Haliotis rufescens</w:t>
      </w:r>
      <w:r w:rsidRPr="006D427B">
        <w:rPr>
          <w:rFonts w:cs="Arial"/>
          <w:lang w:eastAsia="fr-FR"/>
        </w:rPr>
        <w:t xml:space="preserve">, are cultured or areas where native species have been exposed to red abalones (e.g. </w:t>
      </w:r>
      <w:proofErr w:type="spellStart"/>
      <w:r w:rsidRPr="006D427B">
        <w:rPr>
          <w:rFonts w:cs="Arial"/>
          <w:lang w:eastAsia="fr-FR"/>
        </w:rPr>
        <w:t>Wetchateng</w:t>
      </w:r>
      <w:proofErr w:type="spellEnd"/>
      <w:r w:rsidRPr="006D427B">
        <w:rPr>
          <w:rFonts w:cs="Arial"/>
          <w:lang w:eastAsia="fr-FR"/>
        </w:rPr>
        <w:t>, 2008)</w:t>
      </w:r>
    </w:p>
    <w:p w14:paraId="6C201EC2" w14:textId="27DC3BCD" w:rsidR="00B854E8" w:rsidRPr="006D427B" w:rsidRDefault="00B854E8" w:rsidP="008570C6">
      <w:pPr>
        <w:pStyle w:val="Para3"/>
        <w:rPr>
          <w:lang w:eastAsia="fr-FR"/>
        </w:rPr>
      </w:pPr>
      <w:bookmarkStart w:id="1" w:name="_Hlk114417424"/>
      <w:bookmarkStart w:id="2" w:name="_Hlk34052849"/>
      <w:r w:rsidRPr="006D427B">
        <w:rPr>
          <w:szCs w:val="18"/>
          <w:lang w:eastAsia="fr-FR"/>
        </w:rPr>
        <w:t>See WAHIS (</w:t>
      </w:r>
      <w:hyperlink r:id="rId11" w:anchor="/home" w:history="1">
        <w:r w:rsidR="009030A4" w:rsidRPr="006D427B">
          <w:rPr>
            <w:rStyle w:val="Hyperlink"/>
            <w:szCs w:val="18"/>
            <w:lang w:eastAsia="fr-FR"/>
          </w:rPr>
          <w:t>https://wahis.woah.org/#/home</w:t>
        </w:r>
      </w:hyperlink>
      <w:r w:rsidRPr="006D427B">
        <w:rPr>
          <w:szCs w:val="18"/>
          <w:lang w:eastAsia="fr-FR"/>
        </w:rPr>
        <w:t>) for recent informati</w:t>
      </w:r>
      <w:r w:rsidRPr="006D427B">
        <w:rPr>
          <w:lang w:eastAsia="fr-FR"/>
        </w:rPr>
        <w:t>on on distribution at the country level.</w:t>
      </w:r>
    </w:p>
    <w:bookmarkEnd w:id="1"/>
    <w:p w14:paraId="2748F2D6" w14:textId="77777777" w:rsidR="00B854E8" w:rsidRPr="006D427B" w:rsidRDefault="00B854E8" w:rsidP="00B854E8">
      <w:pPr>
        <w:pStyle w:val="110"/>
      </w:pPr>
      <w:r w:rsidRPr="006D427B">
        <w:t>2.4.</w:t>
      </w:r>
      <w:r w:rsidRPr="006D427B">
        <w:tab/>
        <w:t xml:space="preserve">Biosecurity and disease control strategies </w:t>
      </w:r>
    </w:p>
    <w:bookmarkEnd w:id="2"/>
    <w:p w14:paraId="6418DFE3" w14:textId="77777777" w:rsidR="00B854E8" w:rsidRPr="006D427B" w:rsidRDefault="00B854E8" w:rsidP="00B854E8">
      <w:pPr>
        <w:pStyle w:val="1110"/>
        <w:rPr>
          <w:lang w:val="en-IE"/>
        </w:rPr>
      </w:pPr>
      <w:r w:rsidRPr="006D427B">
        <w:rPr>
          <w:lang w:val="en-IE"/>
        </w:rPr>
        <w:t>2.4.1.</w:t>
      </w:r>
      <w:r w:rsidRPr="006D427B">
        <w:rPr>
          <w:lang w:val="en-IE"/>
        </w:rPr>
        <w:tab/>
        <w:t>Vaccination</w:t>
      </w:r>
    </w:p>
    <w:p w14:paraId="29520113" w14:textId="530346DE" w:rsidR="00B854E8" w:rsidRPr="006D427B" w:rsidRDefault="00B7063A" w:rsidP="00B854E8">
      <w:pPr>
        <w:pStyle w:val="Para3"/>
        <w:rPr>
          <w:rFonts w:cs="Arial"/>
          <w:lang w:eastAsia="fr-FR"/>
        </w:rPr>
      </w:pPr>
      <w:r w:rsidRPr="006D427B">
        <w:rPr>
          <w:rFonts w:cs="Arial"/>
          <w:lang w:eastAsia="fr-FR"/>
        </w:rPr>
        <w:t>No vaccines are available.</w:t>
      </w:r>
    </w:p>
    <w:p w14:paraId="4A00082C" w14:textId="77777777" w:rsidR="00B854E8" w:rsidRPr="006D427B" w:rsidRDefault="00B854E8" w:rsidP="00B854E8">
      <w:pPr>
        <w:pStyle w:val="1110"/>
        <w:rPr>
          <w:lang w:val="en-IE"/>
        </w:rPr>
      </w:pPr>
      <w:r w:rsidRPr="006D427B">
        <w:rPr>
          <w:lang w:val="en-IE"/>
        </w:rPr>
        <w:t>2.4.2.</w:t>
      </w:r>
      <w:r w:rsidRPr="006D427B">
        <w:rPr>
          <w:lang w:val="en-IE"/>
        </w:rPr>
        <w:tab/>
        <w:t>Chemotherapy including blocking agents</w:t>
      </w:r>
    </w:p>
    <w:p w14:paraId="7E466AC1" w14:textId="2F2A8989" w:rsidR="00B854E8" w:rsidRPr="006D427B" w:rsidRDefault="00B7063A" w:rsidP="00B854E8">
      <w:pPr>
        <w:pStyle w:val="Para3"/>
        <w:rPr>
          <w:rFonts w:cs="Arial"/>
          <w:lang w:eastAsia="fr-FR"/>
        </w:rPr>
      </w:pPr>
      <w:r w:rsidRPr="006D427B">
        <w:rPr>
          <w:rFonts w:cs="Arial"/>
          <w:lang w:eastAsia="fr-FR"/>
        </w:rPr>
        <w:t xml:space="preserve">Reducing densities and application of an oxytetracycline-medicated diet may reduce losses (Friedman </w:t>
      </w:r>
      <w:r w:rsidR="0082302B" w:rsidRPr="006D427B">
        <w:rPr>
          <w:rFonts w:cs="Arial"/>
          <w:i/>
          <w:lang w:eastAsia="fr-FR"/>
        </w:rPr>
        <w:t>et al</w:t>
      </w:r>
      <w:r w:rsidRPr="006D427B">
        <w:rPr>
          <w:rFonts w:cs="Arial"/>
          <w:lang w:eastAsia="fr-FR"/>
        </w:rPr>
        <w:t xml:space="preserve">., 2003; 2007; Rosenblum </w:t>
      </w:r>
      <w:r w:rsidR="0082302B" w:rsidRPr="006D427B">
        <w:rPr>
          <w:rFonts w:cs="Arial"/>
          <w:i/>
          <w:lang w:eastAsia="fr-FR"/>
        </w:rPr>
        <w:t>et al</w:t>
      </w:r>
      <w:r w:rsidRPr="006D427B">
        <w:rPr>
          <w:rFonts w:cs="Arial"/>
          <w:lang w:eastAsia="fr-FR"/>
        </w:rPr>
        <w:t>., 2008). Oral administration of 12–19% TM-100 (90–100</w:t>
      </w:r>
      <w:r w:rsidR="004D7DC7" w:rsidRPr="006D427B">
        <w:rPr>
          <w:rFonts w:cs="Arial"/>
          <w:lang w:eastAsia="fr-FR"/>
        </w:rPr>
        <w:t> </w:t>
      </w:r>
      <w:r w:rsidRPr="006D427B">
        <w:rPr>
          <w:rFonts w:cs="Arial"/>
          <w:lang w:eastAsia="fr-FR"/>
        </w:rPr>
        <w:t>mg kg</w:t>
      </w:r>
      <w:r w:rsidRPr="006D427B">
        <w:rPr>
          <w:rFonts w:cs="Arial"/>
          <w:vertAlign w:val="superscript"/>
          <w:lang w:eastAsia="fr-FR"/>
        </w:rPr>
        <w:t>–1</w:t>
      </w:r>
      <w:r w:rsidRPr="006D427B">
        <w:rPr>
          <w:rFonts w:cs="Arial"/>
          <w:lang w:eastAsia="fr-FR"/>
        </w:rPr>
        <w:t xml:space="preserve">) in a medicated diet for 10 or 20 days provides protection against bacterial re-infection for several months. </w:t>
      </w:r>
      <w:r w:rsidR="002B1171" w:rsidRPr="006D427B">
        <w:rPr>
          <w:rFonts w:cs="Arial"/>
          <w:lang w:eastAsia="fr-FR"/>
        </w:rPr>
        <w:t>A</w:t>
      </w:r>
      <w:r w:rsidRPr="006D427B">
        <w:rPr>
          <w:rFonts w:cs="Arial"/>
          <w:lang w:eastAsia="fr-FR"/>
        </w:rPr>
        <w:t xml:space="preserve"> single day oral administration of 12% TM-100 </w:t>
      </w:r>
      <w:r w:rsidR="001C4C1D" w:rsidRPr="006D427B">
        <w:rPr>
          <w:rFonts w:cs="Arial"/>
          <w:lang w:eastAsia="fr-FR"/>
        </w:rPr>
        <w:t xml:space="preserve">may </w:t>
      </w:r>
      <w:r w:rsidRPr="006D427B">
        <w:rPr>
          <w:rFonts w:cs="Arial"/>
          <w:lang w:eastAsia="fr-FR"/>
        </w:rPr>
        <w:t xml:space="preserve">reduce bacterial infections from 80% to 10% prevalence and mean infection intensity from 1.4 to 0.1 on a scale of 0–3 (Friedman </w:t>
      </w:r>
      <w:r w:rsidR="0082302B" w:rsidRPr="006D427B">
        <w:rPr>
          <w:rFonts w:cs="Arial"/>
          <w:i/>
          <w:lang w:eastAsia="fr-FR"/>
        </w:rPr>
        <w:t>et al</w:t>
      </w:r>
      <w:r w:rsidRPr="006D427B">
        <w:rPr>
          <w:rFonts w:cs="Arial"/>
          <w:lang w:eastAsia="fr-FR"/>
        </w:rPr>
        <w:t xml:space="preserve">., 2000; 2007). </w:t>
      </w:r>
    </w:p>
    <w:p w14:paraId="6E7A6818" w14:textId="77777777" w:rsidR="00B854E8" w:rsidRPr="006D427B" w:rsidRDefault="00B854E8" w:rsidP="00B854E8">
      <w:pPr>
        <w:pStyle w:val="1110"/>
        <w:rPr>
          <w:lang w:val="en-IE"/>
        </w:rPr>
      </w:pPr>
      <w:r w:rsidRPr="006D427B">
        <w:rPr>
          <w:lang w:val="en-IE"/>
        </w:rPr>
        <w:t>2.4.3.</w:t>
      </w:r>
      <w:r w:rsidRPr="006D427B">
        <w:rPr>
          <w:lang w:val="en-IE"/>
        </w:rPr>
        <w:tab/>
      </w:r>
      <w:proofErr w:type="spellStart"/>
      <w:r w:rsidRPr="006D427B">
        <w:rPr>
          <w:lang w:val="en-IE"/>
        </w:rPr>
        <w:t>Immunostimulation</w:t>
      </w:r>
      <w:proofErr w:type="spellEnd"/>
    </w:p>
    <w:p w14:paraId="68F855D4" w14:textId="7E5F6454" w:rsidR="00B854E8" w:rsidRPr="006D427B" w:rsidRDefault="00A46DB4" w:rsidP="00B854E8">
      <w:pPr>
        <w:pStyle w:val="Para3"/>
        <w:rPr>
          <w:rFonts w:cs="Arial"/>
          <w:lang w:eastAsia="fr-FR"/>
        </w:rPr>
      </w:pPr>
      <w:r w:rsidRPr="006D427B">
        <w:rPr>
          <w:rFonts w:cs="Arial"/>
          <w:lang w:eastAsia="fr-FR"/>
        </w:rPr>
        <w:t>No immunostimulants are currently known</w:t>
      </w:r>
    </w:p>
    <w:p w14:paraId="1A01A2A0" w14:textId="77777777" w:rsidR="00B854E8" w:rsidRPr="006D427B" w:rsidRDefault="00B854E8" w:rsidP="00B854E8">
      <w:pPr>
        <w:pStyle w:val="1110"/>
        <w:rPr>
          <w:lang w:val="en-IE"/>
        </w:rPr>
      </w:pPr>
      <w:r w:rsidRPr="006D427B">
        <w:rPr>
          <w:lang w:val="en-IE"/>
        </w:rPr>
        <w:t>2.4.4.</w:t>
      </w:r>
      <w:r w:rsidRPr="006D427B">
        <w:rPr>
          <w:lang w:val="en-IE"/>
        </w:rPr>
        <w:tab/>
        <w:t>Breeding resistant strains</w:t>
      </w:r>
    </w:p>
    <w:p w14:paraId="4BC88A39" w14:textId="65F8120A" w:rsidR="00B854E8" w:rsidRPr="006D427B" w:rsidRDefault="00A46DB4" w:rsidP="00B854E8">
      <w:pPr>
        <w:pStyle w:val="Para3"/>
        <w:rPr>
          <w:rFonts w:cs="Arial"/>
          <w:lang w:eastAsia="fr-FR"/>
        </w:rPr>
      </w:pPr>
      <w:r w:rsidRPr="006D427B">
        <w:rPr>
          <w:rFonts w:cs="Arial"/>
          <w:lang w:eastAsia="fr-FR"/>
        </w:rPr>
        <w:t xml:space="preserve">Interest in selecting for resistant abalones, particularly for restoration purposes, is increasing. Wild black abalones have continued to recruit along the California Channel Islands since 2002 and some recruits survive, suggesting that these individuals may be more resistant to this rickettsial disease (Tinajero </w:t>
      </w:r>
      <w:r w:rsidR="0082302B" w:rsidRPr="006D427B">
        <w:rPr>
          <w:rFonts w:cs="Arial"/>
          <w:i/>
          <w:lang w:eastAsia="fr-FR"/>
        </w:rPr>
        <w:t>et al</w:t>
      </w:r>
      <w:r w:rsidRPr="006D427B">
        <w:rPr>
          <w:rFonts w:cs="Arial"/>
          <w:lang w:eastAsia="fr-FR"/>
        </w:rPr>
        <w:t xml:space="preserve">., 2002). </w:t>
      </w:r>
    </w:p>
    <w:p w14:paraId="676B8C17" w14:textId="77777777" w:rsidR="00B854E8" w:rsidRPr="006D427B" w:rsidRDefault="00B854E8" w:rsidP="00B854E8">
      <w:pPr>
        <w:pStyle w:val="1110"/>
        <w:rPr>
          <w:lang w:val="en-IE"/>
        </w:rPr>
      </w:pPr>
      <w:r w:rsidRPr="006D427B">
        <w:rPr>
          <w:lang w:val="en-IE"/>
        </w:rPr>
        <w:t>2.4.5.</w:t>
      </w:r>
      <w:r w:rsidRPr="006D427B">
        <w:rPr>
          <w:lang w:val="en-IE"/>
        </w:rPr>
        <w:tab/>
        <w:t>Inactivation methods</w:t>
      </w:r>
    </w:p>
    <w:p w14:paraId="19213FCD" w14:textId="6E179191" w:rsidR="00980237" w:rsidRPr="006D427B" w:rsidRDefault="5C484FF7" w:rsidP="00980237">
      <w:pPr>
        <w:pStyle w:val="Para3"/>
        <w:rPr>
          <w:rFonts w:cs="Arial"/>
        </w:rPr>
      </w:pPr>
      <w:r w:rsidRPr="006D427B">
        <w:rPr>
          <w:rFonts w:cs="Arial"/>
        </w:rPr>
        <w:t>Based on successful decontamination in the laboratory, this bacterium is readily inactivated by immersion in &lt;10% bleach. In addition, exposure of seawater containing the bacterium to &gt;10 mg  litre–1 [ppm] calcium hypochlorite and disinfection of equipment in a bath of 1% tamed iodine in freshwater for 1 hour are effective disinfectants based on the use of these disinfection methods at a marine laboratory with flow-through seawater and a lack of detection of this pathogen in adjacent abalone populations (Friedman &amp; Finley, 2003).</w:t>
      </w:r>
    </w:p>
    <w:p w14:paraId="6A6528B4" w14:textId="77777777" w:rsidR="00B854E8" w:rsidRPr="006D427B" w:rsidRDefault="00B854E8" w:rsidP="00B854E8">
      <w:pPr>
        <w:pStyle w:val="1110"/>
        <w:rPr>
          <w:lang w:val="en-IE"/>
        </w:rPr>
      </w:pPr>
      <w:r w:rsidRPr="006D427B">
        <w:rPr>
          <w:lang w:val="en-IE"/>
        </w:rPr>
        <w:t>2.4.6.</w:t>
      </w:r>
      <w:r w:rsidRPr="006D427B">
        <w:rPr>
          <w:lang w:val="en-IE"/>
        </w:rPr>
        <w:tab/>
        <w:t>Disinfection of eggs and larvae</w:t>
      </w:r>
    </w:p>
    <w:p w14:paraId="45D76B57" w14:textId="64BBD013" w:rsidR="00B854E8" w:rsidRPr="006D427B" w:rsidRDefault="00A46DB4" w:rsidP="00B854E8">
      <w:pPr>
        <w:pStyle w:val="Para3"/>
        <w:rPr>
          <w:rFonts w:cs="Arial"/>
        </w:rPr>
      </w:pPr>
      <w:r w:rsidRPr="006D427B">
        <w:rPr>
          <w:rFonts w:cs="Arial"/>
        </w:rPr>
        <w:t>No attempts to disinfect eggs and larvae have been undertaken</w:t>
      </w:r>
      <w:r w:rsidR="00184E62" w:rsidRPr="006D427B">
        <w:rPr>
          <w:rFonts w:cs="Arial"/>
        </w:rPr>
        <w:t>.</w:t>
      </w:r>
    </w:p>
    <w:p w14:paraId="743DBC4C" w14:textId="77777777" w:rsidR="00B854E8" w:rsidRPr="006D427B" w:rsidRDefault="00B854E8" w:rsidP="00B854E8">
      <w:pPr>
        <w:pStyle w:val="1110"/>
      </w:pPr>
      <w:bookmarkStart w:id="3" w:name="_Hlk34052889"/>
      <w:r w:rsidRPr="006D427B">
        <w:lastRenderedPageBreak/>
        <w:t>2.4.7.</w:t>
      </w:r>
      <w:r w:rsidRPr="006D427B">
        <w:tab/>
        <w:t>General husbandry</w:t>
      </w:r>
    </w:p>
    <w:p w14:paraId="7F6DABB0" w14:textId="5E0BBEDF" w:rsidR="00B854E8" w:rsidRPr="006D427B" w:rsidRDefault="00A46DB4" w:rsidP="00C91A44">
      <w:pPr>
        <w:pStyle w:val="Para3"/>
        <w:rPr>
          <w:rFonts w:cs="Arial"/>
        </w:rPr>
      </w:pPr>
      <w:r w:rsidRPr="006D427B">
        <w:rPr>
          <w:rFonts w:cs="Arial"/>
        </w:rPr>
        <w:t xml:space="preserve">Husbandry practices to </w:t>
      </w:r>
      <w:r w:rsidR="009A549D" w:rsidRPr="006D427B">
        <w:rPr>
          <w:rFonts w:cs="Arial"/>
        </w:rPr>
        <w:t>control</w:t>
      </w:r>
      <w:r w:rsidRPr="006D427B">
        <w:rPr>
          <w:rFonts w:cs="Arial"/>
        </w:rPr>
        <w:t xml:space="preserve"> </w:t>
      </w:r>
      <w:r w:rsidRPr="006D427B">
        <w:rPr>
          <w:rFonts w:cs="Arial"/>
          <w:i/>
          <w:iCs/>
        </w:rPr>
        <w:t>X. californiensis</w:t>
      </w:r>
      <w:r w:rsidRPr="006D427B">
        <w:rPr>
          <w:rFonts w:cs="Arial"/>
        </w:rPr>
        <w:t xml:space="preserve"> are typical of those for any bacterial disease and include the purchase of inspected seed (devoid of evidence of infection), maintaining separate families or groups (i.e. avoid high grading and mixing of disparate groups), rinsing hands and equipment in freshwater or iodinated water and drying them in between uses. Isolation of infected groups is recommended if possible. </w:t>
      </w:r>
    </w:p>
    <w:p w14:paraId="2D607759" w14:textId="77777777" w:rsidR="00B854E8" w:rsidRPr="006D427B" w:rsidRDefault="00B854E8" w:rsidP="00DD209F">
      <w:pPr>
        <w:pStyle w:val="10"/>
        <w:rPr>
          <w:lang w:val="en-IE"/>
        </w:rPr>
      </w:pPr>
      <w:bookmarkStart w:id="4" w:name="_Hlk34066454"/>
      <w:bookmarkEnd w:id="3"/>
      <w:r w:rsidRPr="006D427B">
        <w:rPr>
          <w:lang w:val="en-IE"/>
        </w:rPr>
        <w:t>3.</w:t>
      </w:r>
      <w:r w:rsidRPr="006D427B">
        <w:rPr>
          <w:rStyle w:val="1Car"/>
          <w:lang w:val="en-IE"/>
        </w:rPr>
        <w:tab/>
        <w:t>Specimen selection, sample collection, transportation and handling</w:t>
      </w:r>
      <w:r w:rsidRPr="006D427B">
        <w:rPr>
          <w:lang w:val="en-IE"/>
        </w:rPr>
        <w:t xml:space="preserve"> </w:t>
      </w:r>
    </w:p>
    <w:bookmarkEnd w:id="4"/>
    <w:p w14:paraId="68CF6746" w14:textId="77777777" w:rsidR="00B854E8" w:rsidRPr="006D427B" w:rsidRDefault="00B854E8" w:rsidP="00B854E8">
      <w:pPr>
        <w:pStyle w:val="Para1"/>
        <w:rPr>
          <w:rFonts w:cs="Arial"/>
        </w:rPr>
      </w:pPr>
      <w:r w:rsidRPr="006D427B">
        <w:rPr>
          <w:rFonts w:cs="Arial"/>
        </w:rPr>
        <w:t xml:space="preserve">This section draws on information in </w:t>
      </w:r>
      <w:bookmarkStart w:id="5" w:name="_Hlk34059275"/>
      <w:r w:rsidRPr="006D427B">
        <w:rPr>
          <w:rFonts w:cs="Arial"/>
        </w:rPr>
        <w:t xml:space="preserve">Sections 2.2, 2.3 and 2.4 </w:t>
      </w:r>
      <w:bookmarkEnd w:id="5"/>
      <w:r w:rsidRPr="006D427B">
        <w:rPr>
          <w:rFonts w:cs="Arial"/>
        </w:rPr>
        <w:t>to identify populations, individuals and samples that are most likely to be infected.</w:t>
      </w:r>
    </w:p>
    <w:p w14:paraId="77B9CF61" w14:textId="77777777" w:rsidR="00B854E8" w:rsidRPr="006D427B" w:rsidRDefault="00B854E8" w:rsidP="00B854E8">
      <w:pPr>
        <w:pStyle w:val="110"/>
      </w:pPr>
      <w:r w:rsidRPr="006D427B">
        <w:t>3.1.</w:t>
      </w:r>
      <w:r w:rsidRPr="006D427B">
        <w:tab/>
        <w:t xml:space="preserve">Selection of populations and individual specimens </w:t>
      </w:r>
    </w:p>
    <w:p w14:paraId="2E55AC1C" w14:textId="3901DDDF" w:rsidR="00B854E8" w:rsidRPr="006D427B" w:rsidRDefault="00AB558B" w:rsidP="00B854E8">
      <w:pPr>
        <w:pStyle w:val="Para2"/>
        <w:rPr>
          <w:rFonts w:cs="Arial"/>
        </w:rPr>
      </w:pPr>
      <w:r w:rsidRPr="006D427B">
        <w:rPr>
          <w:rFonts w:cs="Arial"/>
        </w:rPr>
        <w:t>To optimise detection (targeted sampling), selection of abalones exhibiting the clinical sign of reduced weight (atrophied pedal muscle) is recommended. If possible, animals should be sampled after exposure to a period (e.g. 30</w:t>
      </w:r>
      <w:r w:rsidR="00A15CED" w:rsidRPr="006D427B">
        <w:rPr>
          <w:rFonts w:cs="Arial"/>
        </w:rPr>
        <w:t> </w:t>
      </w:r>
      <w:r w:rsidRPr="006D427B">
        <w:rPr>
          <w:rFonts w:cs="Arial"/>
        </w:rPr>
        <w:t>days) of warm water (e.g. &gt;18°C).</w:t>
      </w:r>
    </w:p>
    <w:p w14:paraId="27B868FE" w14:textId="77777777" w:rsidR="00B854E8" w:rsidRPr="006D427B" w:rsidRDefault="00B854E8" w:rsidP="00B854E8">
      <w:pPr>
        <w:pStyle w:val="110"/>
      </w:pPr>
      <w:r w:rsidRPr="006D427B">
        <w:t>3.2.</w:t>
      </w:r>
      <w:r w:rsidRPr="006D427B">
        <w:tab/>
        <w:t>Selection of organs or tissues</w:t>
      </w:r>
    </w:p>
    <w:p w14:paraId="68A0A24D" w14:textId="27EE7DC5" w:rsidR="00B854E8" w:rsidRPr="006D427B" w:rsidRDefault="001E3C06" w:rsidP="00B854E8">
      <w:pPr>
        <w:pStyle w:val="Para2"/>
        <w:rPr>
          <w:rFonts w:cs="Arial"/>
          <w:lang w:eastAsia="fr-FR"/>
        </w:rPr>
      </w:pPr>
      <w:r w:rsidRPr="006D427B">
        <w:rPr>
          <w:rFonts w:cs="Arial"/>
        </w:rPr>
        <w:t>The best target tissue is the posterior oesophagus</w:t>
      </w:r>
      <w:r w:rsidR="00256666" w:rsidRPr="006D427B">
        <w:rPr>
          <w:rFonts w:cs="Arial"/>
        </w:rPr>
        <w:t>,</w:t>
      </w:r>
      <w:r w:rsidRPr="006D427B">
        <w:rPr>
          <w:rFonts w:cs="Arial"/>
        </w:rPr>
        <w:t xml:space="preserve"> and the second</w:t>
      </w:r>
      <w:r w:rsidR="00172719" w:rsidRPr="006D427B">
        <w:rPr>
          <w:rFonts w:cs="Arial"/>
        </w:rPr>
        <w:t>-</w:t>
      </w:r>
      <w:r w:rsidRPr="006D427B">
        <w:rPr>
          <w:rFonts w:cs="Arial"/>
        </w:rPr>
        <w:t xml:space="preserve">best tissue is the digestive gland/intestine complex. </w:t>
      </w:r>
    </w:p>
    <w:p w14:paraId="757F4F7E" w14:textId="77777777" w:rsidR="00B854E8" w:rsidRPr="006D427B" w:rsidRDefault="00B854E8" w:rsidP="00B854E8">
      <w:pPr>
        <w:pStyle w:val="110"/>
      </w:pPr>
      <w:r w:rsidRPr="006D427B">
        <w:t>3.3.</w:t>
      </w:r>
      <w:r w:rsidRPr="006D427B">
        <w:tab/>
        <w:t>Samples or tissues not suitable for pathogen detection</w:t>
      </w:r>
    </w:p>
    <w:p w14:paraId="301987B7" w14:textId="73D34686" w:rsidR="00B854E8" w:rsidRPr="006D427B" w:rsidRDefault="001E3C06" w:rsidP="00B854E8">
      <w:pPr>
        <w:pStyle w:val="Para2"/>
        <w:rPr>
          <w:rFonts w:cs="Arial"/>
        </w:rPr>
      </w:pPr>
      <w:r w:rsidRPr="006D427B">
        <w:rPr>
          <w:rFonts w:cs="Arial"/>
        </w:rPr>
        <w:t>Non-digestive tissues do not contain rickettsial DNA and should be avoided.</w:t>
      </w:r>
    </w:p>
    <w:p w14:paraId="5E784388" w14:textId="77777777" w:rsidR="00B854E8" w:rsidRPr="006D427B" w:rsidRDefault="00B854E8" w:rsidP="00B854E8">
      <w:pPr>
        <w:pStyle w:val="110"/>
      </w:pPr>
      <w:r w:rsidRPr="006D427B">
        <w:t>3.4.</w:t>
      </w:r>
      <w:r w:rsidRPr="006D427B">
        <w:tab/>
        <w:t>Non-lethal sampling</w:t>
      </w:r>
    </w:p>
    <w:p w14:paraId="63B35BE0" w14:textId="588531E7" w:rsidR="000A4029" w:rsidRPr="006D427B" w:rsidRDefault="00772B39" w:rsidP="00772B39">
      <w:pPr>
        <w:pStyle w:val="Para2"/>
        <w:rPr>
          <w:u w:val="double"/>
          <w:lang w:eastAsia="fr-FR"/>
        </w:rPr>
      </w:pPr>
      <w:r w:rsidRPr="006D427B">
        <w:rPr>
          <w:rFonts w:cs="Arial"/>
          <w:lang w:eastAsia="fr-FR"/>
        </w:rPr>
        <w:t>None</w:t>
      </w:r>
    </w:p>
    <w:p w14:paraId="59E7D460" w14:textId="77777777" w:rsidR="00B854E8" w:rsidRPr="006D427B" w:rsidRDefault="00B854E8" w:rsidP="00B854E8">
      <w:pPr>
        <w:pStyle w:val="110"/>
      </w:pPr>
      <w:r w:rsidRPr="006D427B">
        <w:t>3.5.</w:t>
      </w:r>
      <w:r w:rsidRPr="006D427B">
        <w:tab/>
        <w:t>Preservation of samples for submission</w:t>
      </w:r>
    </w:p>
    <w:p w14:paraId="3CB35F22" w14:textId="77777777" w:rsidR="00B854E8" w:rsidRPr="006D427B" w:rsidRDefault="00B854E8" w:rsidP="00B854E8">
      <w:pPr>
        <w:pStyle w:val="1110"/>
        <w:rPr>
          <w:lang w:val="en-IE"/>
        </w:rPr>
      </w:pPr>
      <w:r w:rsidRPr="006D427B">
        <w:rPr>
          <w:lang w:val="en-IE"/>
        </w:rPr>
        <w:t>3.5.1.</w:t>
      </w:r>
      <w:r w:rsidRPr="006D427B">
        <w:rPr>
          <w:lang w:val="en-IE"/>
        </w:rPr>
        <w:tab/>
        <w:t xml:space="preserve">Samples for pathogen isolation </w:t>
      </w:r>
    </w:p>
    <w:p w14:paraId="67715891" w14:textId="77777777" w:rsidR="00172719" w:rsidRPr="006D427B" w:rsidRDefault="00172719" w:rsidP="00172719">
      <w:pPr>
        <w:spacing w:after="240" w:line="240" w:lineRule="auto"/>
        <w:ind w:left="851" w:firstLine="283"/>
        <w:jc w:val="both"/>
        <w:rPr>
          <w:rFonts w:eastAsia="MS Mincho" w:cs="Times New Roman"/>
          <w:szCs w:val="18"/>
          <w:lang w:val="en-IE" w:eastAsia="da-DK"/>
        </w:rPr>
      </w:pPr>
      <w:r w:rsidRPr="006D427B">
        <w:rPr>
          <w:rFonts w:eastAsia="MS Mincho" w:cs="Times New Roman"/>
          <w:szCs w:val="18"/>
          <w:lang w:val="en-IE" w:eastAsia="da-DK"/>
        </w:rPr>
        <w:t>Not applicable.</w:t>
      </w:r>
    </w:p>
    <w:p w14:paraId="12A2DD49" w14:textId="77777777" w:rsidR="00B854E8" w:rsidRPr="006D427B" w:rsidRDefault="00B854E8" w:rsidP="00B854E8">
      <w:pPr>
        <w:pStyle w:val="1110"/>
        <w:rPr>
          <w:lang w:val="en-IE"/>
        </w:rPr>
      </w:pPr>
      <w:bookmarkStart w:id="6" w:name="_Hlk34053048"/>
      <w:r w:rsidRPr="006D427B">
        <w:rPr>
          <w:lang w:val="en-IE"/>
        </w:rPr>
        <w:t>3.5.2.</w:t>
      </w:r>
      <w:r w:rsidRPr="006D427B">
        <w:rPr>
          <w:lang w:val="en-IE"/>
        </w:rPr>
        <w:tab/>
      </w:r>
      <w:bookmarkStart w:id="7" w:name="_Hlk83112990"/>
      <w:r w:rsidRPr="006D427B">
        <w:rPr>
          <w:lang w:val="en-IE"/>
        </w:rPr>
        <w:t>Preservation of samples for molecular detection</w:t>
      </w:r>
      <w:bookmarkEnd w:id="7"/>
    </w:p>
    <w:bookmarkEnd w:id="6"/>
    <w:p w14:paraId="158C34BB" w14:textId="77777777" w:rsidR="003870D9" w:rsidRPr="008A1340" w:rsidRDefault="00B854E8" w:rsidP="00B854E8">
      <w:pPr>
        <w:pStyle w:val="Para3"/>
        <w:rPr>
          <w:strike/>
          <w:color w:val="0000CC"/>
          <w:lang w:eastAsia="fr-FR"/>
        </w:rPr>
      </w:pPr>
      <w:r w:rsidRPr="008A1340">
        <w:rPr>
          <w:strike/>
          <w:color w:val="0000CC"/>
          <w:lang w:eastAsia="fr-FR"/>
        </w:rPr>
        <w:t xml:space="preserve">Tissue samples for PCR testing should be preserved in </w:t>
      </w:r>
      <w:r w:rsidR="00A47E91" w:rsidRPr="008A1340">
        <w:rPr>
          <w:strike/>
          <w:color w:val="0000CC"/>
          <w:lang w:eastAsia="fr-FR"/>
        </w:rPr>
        <w:t xml:space="preserve">80% </w:t>
      </w:r>
      <w:r w:rsidRPr="008A1340">
        <w:rPr>
          <w:strike/>
          <w:color w:val="0000CC"/>
          <w:lang w:eastAsia="fr-FR"/>
        </w:rPr>
        <w:t xml:space="preserve">(v/v) </w:t>
      </w:r>
      <w:r w:rsidR="2A2A66D1" w:rsidRPr="008A1340">
        <w:rPr>
          <w:strike/>
          <w:color w:val="0000CC"/>
          <w:lang w:eastAsia="fr-FR"/>
        </w:rPr>
        <w:t>molecular</w:t>
      </w:r>
      <w:r w:rsidRPr="008A1340">
        <w:rPr>
          <w:strike/>
          <w:color w:val="0000CC"/>
          <w:lang w:eastAsia="fr-FR"/>
        </w:rPr>
        <w:t>-grade ethanol. The recommended ratio of ethanol to tissue is 10:1</w:t>
      </w:r>
      <w:r w:rsidR="00B769C3" w:rsidRPr="008A1340">
        <w:rPr>
          <w:strike/>
          <w:color w:val="0000CC"/>
          <w:lang w:eastAsia="fr-FR"/>
        </w:rPr>
        <w:t>.</w:t>
      </w:r>
      <w:r w:rsidRPr="008A1340">
        <w:rPr>
          <w:strike/>
          <w:color w:val="0000CC"/>
          <w:lang w:eastAsia="fr-FR"/>
        </w:rPr>
        <w:t xml:space="preserve"> based on studies in terrestrial animal and human health. The use of lower grade (laboratory or industrial grade) ethanol is not recommended. </w:t>
      </w:r>
      <w:r w:rsidR="00B769C3" w:rsidRPr="008A1340">
        <w:rPr>
          <w:strike/>
          <w:color w:val="0000CC"/>
          <w:lang w:eastAsia="fr-FR"/>
        </w:rPr>
        <w:t xml:space="preserve"> </w:t>
      </w:r>
      <w:r w:rsidRPr="008A1340">
        <w:rPr>
          <w:strike/>
          <w:color w:val="0000CC"/>
          <w:lang w:eastAsia="fr-FR"/>
        </w:rPr>
        <w:t xml:space="preserve">If material cannot be fixed it </w:t>
      </w:r>
    </w:p>
    <w:p w14:paraId="0D0FEE33" w14:textId="0A4F80DE" w:rsidR="00B854E8" w:rsidRPr="008A1340" w:rsidRDefault="003870D9" w:rsidP="00B854E8">
      <w:pPr>
        <w:pStyle w:val="Para3"/>
        <w:rPr>
          <w:strike/>
          <w:color w:val="0000CC"/>
          <w:lang w:eastAsia="fr-FR"/>
        </w:rPr>
      </w:pPr>
      <w:r w:rsidRPr="008A1340">
        <w:rPr>
          <w:strike/>
          <w:color w:val="0000CC"/>
          <w:lang w:eastAsia="fr-FR"/>
        </w:rPr>
        <w:t xml:space="preserve">Tissues </w:t>
      </w:r>
      <w:r w:rsidR="00B854E8" w:rsidRPr="008A1340">
        <w:rPr>
          <w:strike/>
          <w:color w:val="0000CC"/>
          <w:lang w:eastAsia="fr-FR"/>
        </w:rPr>
        <w:t>may be frozen</w:t>
      </w:r>
      <w:r w:rsidR="00902C8E" w:rsidRPr="008A1340">
        <w:rPr>
          <w:strike/>
          <w:color w:val="0000CC"/>
          <w:lang w:eastAsia="fr-FR"/>
        </w:rPr>
        <w:t>.</w:t>
      </w:r>
    </w:p>
    <w:p w14:paraId="77D8F424" w14:textId="38D066CD" w:rsidR="005B2CB6" w:rsidRDefault="005B2CB6" w:rsidP="005B2CB6">
      <w:pPr>
        <w:pStyle w:val="Para3"/>
        <w:rPr>
          <w:rFonts w:cs="Arial"/>
          <w:szCs w:val="18"/>
        </w:rPr>
      </w:pPr>
      <w:r w:rsidRPr="006D427B">
        <w:rPr>
          <w:rFonts w:cs="Arial"/>
          <w:szCs w:val="18"/>
        </w:rPr>
        <w:t xml:space="preserve">Standard sample collection, preservation and processing methods for </w:t>
      </w:r>
      <w:r w:rsidR="00356BD7" w:rsidRPr="006D427B">
        <w:rPr>
          <w:rFonts w:eastAsia="Segoe UI" w:cs="Segoe UI"/>
          <w:szCs w:val="18"/>
        </w:rPr>
        <w:t xml:space="preserve">molecular </w:t>
      </w:r>
      <w:r w:rsidRPr="006D427B">
        <w:rPr>
          <w:rFonts w:cs="Arial"/>
          <w:szCs w:val="18"/>
        </w:rPr>
        <w:t xml:space="preserve">techniques can be found in Section </w:t>
      </w:r>
      <w:r w:rsidR="00EC0149" w:rsidRPr="006D427B">
        <w:rPr>
          <w:rFonts w:cs="Arial"/>
          <w:szCs w:val="18"/>
        </w:rPr>
        <w:t>B.5.5</w:t>
      </w:r>
      <w:r w:rsidRPr="006D427B">
        <w:rPr>
          <w:rFonts w:cs="Arial"/>
          <w:szCs w:val="18"/>
        </w:rPr>
        <w:t xml:space="preserve"> of Chapter 2.4.0 </w:t>
      </w:r>
      <w:r w:rsidRPr="006D427B">
        <w:rPr>
          <w:rFonts w:cs="Arial"/>
          <w:i/>
          <w:iCs/>
          <w:szCs w:val="18"/>
        </w:rPr>
        <w:t>General information</w:t>
      </w:r>
      <w:r w:rsidRPr="006D427B">
        <w:rPr>
          <w:rFonts w:cs="Arial"/>
          <w:szCs w:val="18"/>
        </w:rPr>
        <w:t xml:space="preserve"> (diseases of molluscs).</w:t>
      </w:r>
    </w:p>
    <w:p w14:paraId="2AB220AF" w14:textId="77777777" w:rsidR="006469A5"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 xml:space="preserve">Category: </w:t>
      </w:r>
      <w:r w:rsidRPr="00F2544B">
        <w:rPr>
          <w:rFonts w:cs="Arial"/>
          <w:lang w:val="en-US"/>
        </w:rPr>
        <w:t>[addition, deletion, change, editorial, general] </w:t>
      </w:r>
    </w:p>
    <w:p w14:paraId="0E9CB36B" w14:textId="3BA11028" w:rsidR="006469A5" w:rsidRPr="00F2544B" w:rsidRDefault="00263E56"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Deletion</w:t>
      </w:r>
    </w:p>
    <w:p w14:paraId="2C9BBB2E" w14:textId="77777777" w:rsidR="006469A5" w:rsidRPr="00F2544B"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p>
    <w:p w14:paraId="6D68AD19" w14:textId="77777777" w:rsidR="006469A5" w:rsidRPr="00F2544B"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Proposed amended texts (or precise suggested deletion):</w:t>
      </w:r>
      <w:r w:rsidRPr="00F2544B">
        <w:rPr>
          <w:rFonts w:cs="Arial"/>
          <w:lang w:val="en-US"/>
        </w:rPr>
        <w:t> </w:t>
      </w:r>
    </w:p>
    <w:p w14:paraId="63C58CAB" w14:textId="3A8E0131" w:rsidR="006469A5" w:rsidRPr="00F2544B"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Please see specific edit</w:t>
      </w:r>
      <w:r w:rsidR="001E75B6">
        <w:rPr>
          <w:rFonts w:cs="Arial"/>
          <w:lang w:val="en-US"/>
        </w:rPr>
        <w:t>s</w:t>
      </w:r>
      <w:r>
        <w:rPr>
          <w:rFonts w:cs="Arial"/>
          <w:lang w:val="en-US"/>
        </w:rPr>
        <w:t xml:space="preserve"> in blue above</w:t>
      </w:r>
      <w:r w:rsidR="001E75B6">
        <w:rPr>
          <w:rFonts w:cs="Arial"/>
          <w:lang w:val="en-US"/>
        </w:rPr>
        <w:t xml:space="preserve"> to </w:t>
      </w:r>
      <w:r w:rsidR="00A606F4">
        <w:rPr>
          <w:rFonts w:cs="Arial"/>
          <w:lang w:val="en-US"/>
        </w:rPr>
        <w:t>3.5.2.</w:t>
      </w:r>
    </w:p>
    <w:p w14:paraId="2CB26E3D" w14:textId="77777777" w:rsidR="006469A5" w:rsidRPr="00F2544B"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lang w:val="en-US"/>
        </w:rPr>
        <w:t> </w:t>
      </w:r>
    </w:p>
    <w:p w14:paraId="543BE623" w14:textId="77777777" w:rsidR="006469A5" w:rsidRPr="00F2544B"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b/>
          <w:lang w:val="en-US"/>
        </w:rPr>
        <w:t>Rationale:</w:t>
      </w:r>
      <w:r w:rsidRPr="00F2544B">
        <w:rPr>
          <w:rFonts w:cs="Arial"/>
          <w:lang w:val="en-US"/>
        </w:rPr>
        <w:t> </w:t>
      </w:r>
    </w:p>
    <w:p w14:paraId="18F8AD9A" w14:textId="18E29B64" w:rsidR="006469A5" w:rsidRPr="00F2544B"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Pr>
          <w:rFonts w:cs="Arial"/>
          <w:lang w:val="en-US"/>
        </w:rPr>
        <w:t xml:space="preserve">We </w:t>
      </w:r>
      <w:r w:rsidR="008A1340">
        <w:rPr>
          <w:rFonts w:cs="Arial"/>
          <w:lang w:val="en-US"/>
        </w:rPr>
        <w:t xml:space="preserve">wish to note that other manual </w:t>
      </w:r>
      <w:r w:rsidR="00A606F4">
        <w:rPr>
          <w:rFonts w:cs="Arial"/>
          <w:lang w:val="en-US"/>
        </w:rPr>
        <w:t>chapters</w:t>
      </w:r>
      <w:r w:rsidR="008A1340">
        <w:rPr>
          <w:rFonts w:cs="Arial"/>
          <w:lang w:val="en-US"/>
        </w:rPr>
        <w:t xml:space="preserve"> only</w:t>
      </w:r>
      <w:r w:rsidR="002B00DF">
        <w:rPr>
          <w:rFonts w:cs="Arial"/>
          <w:lang w:val="en-US"/>
        </w:rPr>
        <w:t xml:space="preserve"> includ</w:t>
      </w:r>
      <w:r w:rsidR="00A606F4">
        <w:rPr>
          <w:rFonts w:cs="Arial"/>
          <w:lang w:val="en-US"/>
        </w:rPr>
        <w:t>e</w:t>
      </w:r>
      <w:r w:rsidR="002B00DF">
        <w:rPr>
          <w:rFonts w:cs="Arial"/>
          <w:lang w:val="en-US"/>
        </w:rPr>
        <w:t xml:space="preserve"> the information provided in the 3</w:t>
      </w:r>
      <w:r w:rsidR="002B00DF" w:rsidRPr="002B00DF">
        <w:rPr>
          <w:rFonts w:cs="Arial"/>
          <w:vertAlign w:val="superscript"/>
          <w:lang w:val="en-US"/>
        </w:rPr>
        <w:t>rd</w:t>
      </w:r>
      <w:r w:rsidR="002B00DF">
        <w:rPr>
          <w:rFonts w:cs="Arial"/>
          <w:lang w:val="en-US"/>
        </w:rPr>
        <w:t xml:space="preserve"> paragraph of 3.5.2. We therefore suggest updating this section so that it </w:t>
      </w:r>
      <w:r w:rsidR="00A606F4">
        <w:rPr>
          <w:rFonts w:cs="Arial"/>
          <w:lang w:val="en-US"/>
        </w:rPr>
        <w:t>is aligned</w:t>
      </w:r>
      <w:r w:rsidR="002B00DF">
        <w:rPr>
          <w:rFonts w:cs="Arial"/>
          <w:lang w:val="en-US"/>
        </w:rPr>
        <w:t xml:space="preserve"> with other manual chapters. </w:t>
      </w:r>
      <w:r>
        <w:rPr>
          <w:rFonts w:cs="Arial"/>
          <w:lang w:val="en-US"/>
        </w:rPr>
        <w:t xml:space="preserve">  </w:t>
      </w:r>
    </w:p>
    <w:p w14:paraId="17289B1B" w14:textId="77777777" w:rsidR="006469A5" w:rsidRPr="00F2544B" w:rsidRDefault="006469A5" w:rsidP="006469A5">
      <w:pPr>
        <w:pStyle w:val="Para3"/>
        <w:pBdr>
          <w:top w:val="single" w:sz="4" w:space="1" w:color="auto"/>
          <w:left w:val="single" w:sz="4" w:space="4" w:color="auto"/>
          <w:bottom w:val="single" w:sz="4" w:space="1" w:color="auto"/>
          <w:right w:val="single" w:sz="4" w:space="4" w:color="auto"/>
        </w:pBdr>
        <w:spacing w:after="0"/>
        <w:ind w:left="1138"/>
        <w:rPr>
          <w:rFonts w:cs="Arial"/>
          <w:lang w:val="en-US"/>
        </w:rPr>
      </w:pPr>
      <w:r w:rsidRPr="00F2544B">
        <w:rPr>
          <w:rFonts w:cs="Arial"/>
          <w:lang w:val="en-US"/>
        </w:rPr>
        <w:t> </w:t>
      </w:r>
    </w:p>
    <w:p w14:paraId="6C08DA78" w14:textId="77777777" w:rsidR="006469A5" w:rsidRPr="006469A5" w:rsidRDefault="006469A5" w:rsidP="005B2CB6">
      <w:pPr>
        <w:pStyle w:val="Para3"/>
        <w:rPr>
          <w:rFonts w:cs="Arial"/>
          <w:szCs w:val="18"/>
          <w:lang w:val="en-US" w:eastAsia="fr-FR"/>
        </w:rPr>
      </w:pPr>
    </w:p>
    <w:p w14:paraId="0AF58258" w14:textId="77777777" w:rsidR="00B854E8" w:rsidRPr="006D427B" w:rsidRDefault="00B854E8" w:rsidP="00B854E8">
      <w:pPr>
        <w:pStyle w:val="1110"/>
        <w:rPr>
          <w:lang w:val="en-IE"/>
        </w:rPr>
      </w:pPr>
      <w:r w:rsidRPr="006D427B">
        <w:rPr>
          <w:lang w:val="en-IE"/>
        </w:rPr>
        <w:lastRenderedPageBreak/>
        <w:t>3.5.3.</w:t>
      </w:r>
      <w:r w:rsidRPr="006D427B">
        <w:rPr>
          <w:lang w:val="en-IE"/>
        </w:rPr>
        <w:tab/>
      </w:r>
      <w:bookmarkStart w:id="8" w:name="_Hlk83113002"/>
      <w:r w:rsidRPr="006D427B">
        <w:rPr>
          <w:lang w:val="en-IE"/>
        </w:rPr>
        <w:t xml:space="preserve">Samples for histopathology, immunohistochemistry or </w:t>
      </w:r>
      <w:r w:rsidRPr="006D427B">
        <w:rPr>
          <w:i/>
          <w:lang w:val="en-IE"/>
        </w:rPr>
        <w:t>in-situ</w:t>
      </w:r>
      <w:r w:rsidRPr="006D427B">
        <w:rPr>
          <w:lang w:val="en-IE"/>
        </w:rPr>
        <w:t xml:space="preserve"> hybridisation</w:t>
      </w:r>
      <w:bookmarkEnd w:id="8"/>
    </w:p>
    <w:p w14:paraId="064FBCCB" w14:textId="30EE798D" w:rsidR="00FB675A" w:rsidRPr="006D427B" w:rsidRDefault="00FB675A" w:rsidP="00FB675A">
      <w:pPr>
        <w:pStyle w:val="Para3"/>
        <w:rPr>
          <w:rFonts w:cs="Arial"/>
          <w:szCs w:val="18"/>
          <w:lang w:eastAsia="fr-FR"/>
        </w:rPr>
      </w:pPr>
      <w:r w:rsidRPr="006D427B">
        <w:rPr>
          <w:rFonts w:cs="Arial"/>
          <w:szCs w:val="18"/>
        </w:rPr>
        <w:t>Standard sample collection, preservation and processing methods for histological techniques can be found in Section B.5.</w:t>
      </w:r>
      <w:r w:rsidR="00760341" w:rsidRPr="006D427B">
        <w:rPr>
          <w:rFonts w:cs="Arial"/>
          <w:szCs w:val="18"/>
        </w:rPr>
        <w:t>3</w:t>
      </w:r>
      <w:r w:rsidRPr="006D427B">
        <w:rPr>
          <w:rFonts w:cs="Arial"/>
          <w:szCs w:val="18"/>
        </w:rPr>
        <w:t xml:space="preserve"> of Chapter 2.4.0 </w:t>
      </w:r>
      <w:r w:rsidRPr="006D427B">
        <w:rPr>
          <w:rFonts w:cs="Arial"/>
          <w:i/>
          <w:iCs/>
          <w:szCs w:val="18"/>
        </w:rPr>
        <w:t>General information</w:t>
      </w:r>
      <w:r w:rsidRPr="006D427B">
        <w:rPr>
          <w:rFonts w:cs="Arial"/>
          <w:szCs w:val="18"/>
        </w:rPr>
        <w:t xml:space="preserve"> (diseases of molluscs).</w:t>
      </w:r>
    </w:p>
    <w:p w14:paraId="241CD9CA" w14:textId="77777777" w:rsidR="00B854E8" w:rsidRPr="006D427B" w:rsidRDefault="00B854E8" w:rsidP="00B854E8">
      <w:pPr>
        <w:pStyle w:val="1110"/>
        <w:rPr>
          <w:lang w:val="en-IE"/>
        </w:rPr>
      </w:pPr>
      <w:r w:rsidRPr="006D427B">
        <w:rPr>
          <w:lang w:val="en-IE"/>
        </w:rPr>
        <w:t>3.5.4.</w:t>
      </w:r>
      <w:r w:rsidRPr="006D427B">
        <w:rPr>
          <w:lang w:val="en-IE"/>
        </w:rPr>
        <w:tab/>
        <w:t>Samples for other tests</w:t>
      </w:r>
    </w:p>
    <w:p w14:paraId="01DBCF96" w14:textId="7E6C814A" w:rsidR="00B854E8" w:rsidRPr="006D427B" w:rsidRDefault="0042133F" w:rsidP="00B854E8">
      <w:pPr>
        <w:pStyle w:val="Para3"/>
        <w:rPr>
          <w:lang w:eastAsia="fr-FR"/>
        </w:rPr>
      </w:pPr>
      <w:r w:rsidRPr="006D427B">
        <w:rPr>
          <w:lang w:eastAsia="fr-FR"/>
        </w:rPr>
        <w:t>None</w:t>
      </w:r>
      <w:r w:rsidR="00256666" w:rsidRPr="006D427B">
        <w:rPr>
          <w:lang w:eastAsia="fr-FR"/>
        </w:rPr>
        <w:t>.</w:t>
      </w:r>
    </w:p>
    <w:p w14:paraId="68B75F9E" w14:textId="77777777" w:rsidR="00B854E8" w:rsidRPr="006D427B" w:rsidRDefault="00B854E8" w:rsidP="00B854E8">
      <w:pPr>
        <w:pStyle w:val="110"/>
      </w:pPr>
      <w:r w:rsidRPr="006D427B">
        <w:t>3.6.</w:t>
      </w:r>
      <w:r w:rsidRPr="006D427B">
        <w:tab/>
        <w:t>Pooling of samples</w:t>
      </w:r>
    </w:p>
    <w:p w14:paraId="5DDC1E18" w14:textId="56D3AFA8" w:rsidR="00B854E8" w:rsidRPr="006D427B" w:rsidRDefault="00B854E8" w:rsidP="00B854E8">
      <w:pPr>
        <w:pStyle w:val="Para2"/>
        <w:rPr>
          <w:rFonts w:cs="Arial"/>
        </w:rPr>
      </w:pPr>
      <w:r w:rsidRPr="006D427B">
        <w:rPr>
          <w:rFonts w:cs="Arial"/>
          <w:szCs w:val="18"/>
        </w:rPr>
        <w:t xml:space="preserve">Pooling of samples from more than one individual animal for a given purpose </w:t>
      </w:r>
      <w:r w:rsidR="000D7C9F" w:rsidRPr="006D427B">
        <w:rPr>
          <w:rFonts w:cs="Arial"/>
          <w:szCs w:val="18"/>
        </w:rPr>
        <w:t xml:space="preserve">is only </w:t>
      </w:r>
      <w:r w:rsidRPr="006D427B">
        <w:rPr>
          <w:rFonts w:cs="Arial"/>
          <w:szCs w:val="18"/>
        </w:rPr>
        <w:t xml:space="preserve">recommended </w:t>
      </w:r>
      <w:bookmarkStart w:id="9" w:name="_Hlk84413393"/>
      <w:r w:rsidRPr="006D427B">
        <w:rPr>
          <w:rFonts w:cs="Arial"/>
          <w:szCs w:val="18"/>
        </w:rPr>
        <w:t>where robust supporting data on diagnostic sensitivity and diagnostic specificity have been evaluated and found to be suitable</w:t>
      </w:r>
      <w:bookmarkEnd w:id="9"/>
      <w:r w:rsidRPr="006D427B">
        <w:rPr>
          <w:rFonts w:cs="Arial"/>
          <w:szCs w:val="18"/>
        </w:rPr>
        <w:t xml:space="preserve">. </w:t>
      </w:r>
      <w:r w:rsidR="00931AA5" w:rsidRPr="006D427B">
        <w:rPr>
          <w:rFonts w:cs="Arial"/>
          <w:szCs w:val="18"/>
        </w:rPr>
        <w:t>If the</w:t>
      </w:r>
      <w:r w:rsidRPr="006D427B">
        <w:rPr>
          <w:rFonts w:cs="Arial"/>
          <w:szCs w:val="18"/>
        </w:rPr>
        <w:t xml:space="preserve"> effect of pooling on diagnostic sensitivity has not been thoroughly evaluated, </w:t>
      </w:r>
      <w:r w:rsidR="00F94708" w:rsidRPr="006D427B">
        <w:rPr>
          <w:rFonts w:cs="Arial"/>
          <w:szCs w:val="18"/>
        </w:rPr>
        <w:t xml:space="preserve">specimens </w:t>
      </w:r>
      <w:r w:rsidRPr="006D427B">
        <w:rPr>
          <w:rFonts w:cs="Arial"/>
          <w:szCs w:val="18"/>
        </w:rPr>
        <w:t xml:space="preserve">should be processed and tested individually. </w:t>
      </w:r>
      <w:r w:rsidRPr="006D427B">
        <w:rPr>
          <w:bdr w:val="nil"/>
        </w:rPr>
        <w:t xml:space="preserve">Small life stages such as </w:t>
      </w:r>
      <w:r w:rsidR="00EC36CC" w:rsidRPr="006D427B">
        <w:rPr>
          <w:bdr w:val="nil"/>
        </w:rPr>
        <w:t>spat</w:t>
      </w:r>
      <w:r w:rsidRPr="006D427B">
        <w:rPr>
          <w:bdr w:val="nil"/>
        </w:rPr>
        <w:t xml:space="preserve"> can be pooled to obtain the minimum amount of material for virus isolation or molecular detection</w:t>
      </w:r>
      <w:r w:rsidRPr="006D427B">
        <w:rPr>
          <w:rFonts w:cs="Arial"/>
          <w:bdr w:val="nil"/>
          <w:lang w:eastAsia="fr-FR"/>
        </w:rPr>
        <w:t>.</w:t>
      </w:r>
      <w:r w:rsidRPr="006D427B">
        <w:rPr>
          <w:rFonts w:cs="Arial"/>
        </w:rPr>
        <w:t xml:space="preserve"> </w:t>
      </w:r>
    </w:p>
    <w:p w14:paraId="607B6C90" w14:textId="77777777" w:rsidR="00B854E8" w:rsidRPr="006D427B" w:rsidRDefault="00B854E8" w:rsidP="004F53CC">
      <w:pPr>
        <w:pStyle w:val="10"/>
        <w:rPr>
          <w:lang w:val="en-IE"/>
        </w:rPr>
      </w:pPr>
      <w:r w:rsidRPr="006D427B">
        <w:rPr>
          <w:lang w:val="en-IE"/>
        </w:rPr>
        <w:t>4.</w:t>
      </w:r>
      <w:r w:rsidRPr="006D427B">
        <w:rPr>
          <w:lang w:val="en-AU"/>
        </w:rPr>
        <w:tab/>
      </w:r>
      <w:r w:rsidRPr="006D427B">
        <w:rPr>
          <w:lang w:val="en-IE"/>
        </w:rPr>
        <w:t>Diagnostic methods</w:t>
      </w:r>
    </w:p>
    <w:p w14:paraId="30C9C3F8" w14:textId="77777777" w:rsidR="00B854E8" w:rsidRPr="006D427B" w:rsidRDefault="00B854E8" w:rsidP="00B854E8">
      <w:pPr>
        <w:pStyle w:val="Para1"/>
        <w:rPr>
          <w:rFonts w:eastAsia="MS Mincho"/>
          <w:u w:color="000000"/>
          <w:bdr w:val="nil"/>
          <w:lang w:eastAsia="ja-JP"/>
        </w:rPr>
      </w:pPr>
      <w:bookmarkStart w:id="10" w:name="_Hlk88570633"/>
      <w:r w:rsidRPr="006D427B">
        <w:rPr>
          <w:rFonts w:eastAsia="MS Mincho"/>
          <w:u w:color="000000"/>
          <w:bdr w:val="nil"/>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76FBD69" w14:textId="77777777" w:rsidR="00B854E8" w:rsidRPr="006D427B" w:rsidRDefault="00B854E8" w:rsidP="00B854E8">
      <w:pPr>
        <w:pStyle w:val="Para1"/>
      </w:pPr>
      <w:r w:rsidRPr="006D427B">
        <w:rPr>
          <w:b/>
          <w:bCs/>
        </w:rPr>
        <w:t>Ratings for purposes of use.</w:t>
      </w:r>
      <w:r w:rsidRPr="006D427B">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24C24774" w14:textId="77777777" w:rsidR="00B854E8" w:rsidRPr="006D427B" w:rsidRDefault="00B854E8" w:rsidP="00B854E8">
      <w:pPr>
        <w:pBdr>
          <w:top w:val="nil"/>
          <w:left w:val="nil"/>
          <w:bottom w:val="nil"/>
          <w:right w:val="nil"/>
          <w:between w:val="nil"/>
          <w:bar w:val="nil"/>
        </w:pBdr>
        <w:ind w:left="1701" w:hanging="1701"/>
        <w:rPr>
          <w:rFonts w:eastAsia="Arial" w:cs="Arial"/>
          <w:szCs w:val="18"/>
          <w:u w:color="000000"/>
          <w:bdr w:val="nil"/>
          <w:lang w:val="en-IE"/>
        </w:rPr>
      </w:pPr>
      <w:r w:rsidRPr="006D427B">
        <w:rPr>
          <w:rFonts w:eastAsia="Calibri" w:cs="Calibri"/>
          <w:szCs w:val="18"/>
          <w:u w:color="000000"/>
          <w:bdr w:val="nil"/>
          <w:lang w:val="en-IE"/>
        </w:rPr>
        <w:t>+++ =</w:t>
      </w:r>
      <w:r w:rsidRPr="006D427B">
        <w:rPr>
          <w:rFonts w:eastAsia="Calibri" w:cs="Calibri"/>
          <w:szCs w:val="18"/>
          <w:u w:color="000000"/>
          <w:bdr w:val="nil"/>
          <w:lang w:val="en-IE"/>
        </w:rPr>
        <w:tab/>
      </w:r>
      <w:r w:rsidRPr="006D427B">
        <w:rPr>
          <w:rFonts w:cs="Arial"/>
          <w:szCs w:val="18"/>
          <w:lang w:val="en-IE"/>
        </w:rPr>
        <w:t xml:space="preserve">Methods </w:t>
      </w:r>
      <w:r w:rsidRPr="006D427B">
        <w:rPr>
          <w:rFonts w:eastAsia="Arial" w:cs="Arial"/>
          <w:szCs w:val="18"/>
          <w:u w:color="000000"/>
          <w:bdr w:val="nil"/>
          <w:lang w:val="en-IE"/>
        </w:rPr>
        <w:t xml:space="preserve">are most suitable with </w:t>
      </w:r>
      <w:r w:rsidRPr="006D427B">
        <w:rPr>
          <w:rFonts w:cs="Arial"/>
          <w:szCs w:val="18"/>
          <w:lang w:val="en-IE"/>
        </w:rPr>
        <w:t>desirable performance and operational characteristics</w:t>
      </w:r>
      <w:r w:rsidRPr="006D427B">
        <w:rPr>
          <w:rFonts w:eastAsia="Calibri" w:cs="Calibri"/>
          <w:szCs w:val="18"/>
          <w:u w:color="000000"/>
          <w:bdr w:val="nil"/>
          <w:lang w:val="en-IE"/>
        </w:rPr>
        <w:t>.</w:t>
      </w:r>
    </w:p>
    <w:p w14:paraId="4C3BEC9B" w14:textId="77777777" w:rsidR="00B854E8" w:rsidRPr="006D427B" w:rsidRDefault="00B854E8" w:rsidP="00B854E8">
      <w:pPr>
        <w:pBdr>
          <w:top w:val="nil"/>
          <w:left w:val="nil"/>
          <w:bottom w:val="nil"/>
          <w:right w:val="nil"/>
          <w:between w:val="nil"/>
          <w:bar w:val="nil"/>
        </w:pBdr>
        <w:ind w:left="1701" w:hanging="1701"/>
        <w:rPr>
          <w:rFonts w:eastAsia="Arial" w:cs="Arial"/>
          <w:szCs w:val="18"/>
          <w:u w:color="000000"/>
          <w:bdr w:val="nil"/>
          <w:lang w:val="en-IE"/>
        </w:rPr>
      </w:pPr>
      <w:r w:rsidRPr="006D427B">
        <w:rPr>
          <w:rFonts w:eastAsia="Calibri" w:cs="Calibri"/>
          <w:szCs w:val="18"/>
          <w:u w:color="000000"/>
          <w:bdr w:val="nil"/>
          <w:lang w:val="en-IE"/>
        </w:rPr>
        <w:t xml:space="preserve">++ = </w:t>
      </w:r>
      <w:r w:rsidRPr="006D427B">
        <w:rPr>
          <w:rFonts w:eastAsia="Calibri" w:cs="Calibri"/>
          <w:szCs w:val="18"/>
          <w:u w:color="000000"/>
          <w:bdr w:val="nil"/>
          <w:lang w:val="en-IE"/>
        </w:rPr>
        <w:tab/>
        <w:t>Methods</w:t>
      </w:r>
      <w:r w:rsidRPr="006D427B">
        <w:rPr>
          <w:rFonts w:eastAsia="Calibri" w:cs="Calibri"/>
          <w:szCs w:val="18"/>
          <w:bdr w:val="nil"/>
          <w:lang w:val="en-IE"/>
        </w:rPr>
        <w:t xml:space="preserve"> </w:t>
      </w:r>
      <w:r w:rsidRPr="006D427B">
        <w:rPr>
          <w:rFonts w:eastAsia="Arial" w:cs="Arial"/>
          <w:szCs w:val="18"/>
          <w:u w:color="000000"/>
          <w:bdr w:val="nil"/>
          <w:lang w:val="en-IE"/>
        </w:rPr>
        <w:t xml:space="preserve">are suitable with </w:t>
      </w:r>
      <w:r w:rsidRPr="006D427B">
        <w:rPr>
          <w:rFonts w:cs="Arial"/>
          <w:szCs w:val="18"/>
          <w:lang w:val="en-IE"/>
        </w:rPr>
        <w:t>acceptable performance and operational characteristics under most circumstances</w:t>
      </w:r>
      <w:r w:rsidRPr="006D427B">
        <w:rPr>
          <w:rFonts w:eastAsia="Calibri" w:cs="Calibri"/>
          <w:szCs w:val="18"/>
          <w:u w:color="000000"/>
          <w:bdr w:val="nil"/>
          <w:lang w:val="en-IE"/>
        </w:rPr>
        <w:t xml:space="preserve">. </w:t>
      </w:r>
    </w:p>
    <w:p w14:paraId="31F0CA61" w14:textId="77777777" w:rsidR="00B854E8" w:rsidRPr="006D427B" w:rsidRDefault="00B854E8" w:rsidP="00B854E8">
      <w:pPr>
        <w:pBdr>
          <w:top w:val="nil"/>
          <w:left w:val="nil"/>
          <w:bottom w:val="nil"/>
          <w:right w:val="nil"/>
          <w:between w:val="nil"/>
          <w:bar w:val="nil"/>
        </w:pBdr>
        <w:ind w:left="1701" w:hanging="1701"/>
        <w:rPr>
          <w:rFonts w:eastAsia="Arial" w:cs="Arial"/>
          <w:szCs w:val="18"/>
          <w:u w:color="000000"/>
          <w:bdr w:val="nil"/>
          <w:lang w:val="en-IE"/>
        </w:rPr>
      </w:pPr>
      <w:r w:rsidRPr="006D427B">
        <w:rPr>
          <w:rFonts w:eastAsia="Calibri" w:cs="Calibri"/>
          <w:szCs w:val="18"/>
          <w:u w:color="000000"/>
          <w:bdr w:val="nil"/>
          <w:lang w:val="en-IE"/>
        </w:rPr>
        <w:t xml:space="preserve">+ = </w:t>
      </w:r>
      <w:r w:rsidRPr="006D427B">
        <w:rPr>
          <w:rFonts w:eastAsia="Calibri" w:cs="Calibri"/>
          <w:szCs w:val="18"/>
          <w:u w:color="000000"/>
          <w:bdr w:val="nil"/>
          <w:lang w:val="en-IE"/>
        </w:rPr>
        <w:tab/>
      </w:r>
      <w:r w:rsidRPr="006D427B">
        <w:rPr>
          <w:rFonts w:cs="Arial"/>
          <w:szCs w:val="18"/>
          <w:lang w:val="en-IE"/>
        </w:rPr>
        <w:t xml:space="preserve">Methods </w:t>
      </w:r>
      <w:r w:rsidRPr="006D427B">
        <w:rPr>
          <w:rFonts w:eastAsia="Arial" w:cs="Arial"/>
          <w:szCs w:val="18"/>
          <w:u w:color="000000"/>
          <w:bdr w:val="nil"/>
          <w:lang w:val="en-IE"/>
        </w:rPr>
        <w:t>are suitable, but</w:t>
      </w:r>
      <w:r w:rsidRPr="006D427B">
        <w:rPr>
          <w:rFonts w:cs="Arial"/>
          <w:szCs w:val="18"/>
          <w:lang w:val="en-IE"/>
        </w:rPr>
        <w:t xml:space="preserve"> performance or operational characteristics may limit application under some circumstances</w:t>
      </w:r>
      <w:r w:rsidRPr="006D427B">
        <w:rPr>
          <w:rFonts w:eastAsia="Arial" w:cs="Arial"/>
          <w:szCs w:val="18"/>
          <w:u w:color="000000"/>
          <w:bdr w:val="nil"/>
          <w:lang w:val="en-IE"/>
        </w:rPr>
        <w:t xml:space="preserve">. </w:t>
      </w:r>
    </w:p>
    <w:p w14:paraId="7D90BD6E" w14:textId="77777777" w:rsidR="00B854E8" w:rsidRPr="006D427B" w:rsidRDefault="00B854E8" w:rsidP="00B854E8">
      <w:pPr>
        <w:pStyle w:val="Para1"/>
        <w:rPr>
          <w:rFonts w:eastAsia="Calibri"/>
          <w:u w:color="000000"/>
          <w:bdr w:val="nil"/>
        </w:rPr>
      </w:pPr>
      <w:r w:rsidRPr="006D427B">
        <w:rPr>
          <w:rFonts w:eastAsia="Calibri"/>
          <w:u w:color="000000"/>
          <w:bdr w:val="nil"/>
        </w:rPr>
        <w:t xml:space="preserve">Shaded boxes = </w:t>
      </w:r>
      <w:r w:rsidRPr="006D427B">
        <w:rPr>
          <w:rFonts w:eastAsia="Calibri"/>
          <w:u w:color="000000"/>
          <w:bdr w:val="nil"/>
        </w:rPr>
        <w:tab/>
        <w:t>Not appropriate for this purpose.</w:t>
      </w:r>
    </w:p>
    <w:p w14:paraId="34C02F21" w14:textId="77777777" w:rsidR="00B854E8" w:rsidRPr="006D427B" w:rsidRDefault="00B854E8" w:rsidP="00B854E8">
      <w:pPr>
        <w:pStyle w:val="Para1"/>
        <w:rPr>
          <w:rFonts w:cs="Arial"/>
        </w:rPr>
      </w:pPr>
      <w:r w:rsidRPr="006D427B">
        <w:rPr>
          <w:rFonts w:cs="Arial"/>
          <w:b/>
          <w:bCs/>
        </w:rPr>
        <w:t>Validation stage</w:t>
      </w:r>
      <w:r w:rsidRPr="006D427B">
        <w:rPr>
          <w:rFonts w:cs="Arial"/>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BDCDCBB" w14:textId="72F67303" w:rsidR="00B854E8" w:rsidRPr="006D427B" w:rsidRDefault="009030A4" w:rsidP="00B854E8">
      <w:pPr>
        <w:pStyle w:val="Para1"/>
        <w:rPr>
          <w:rFonts w:cs="Arial"/>
        </w:rPr>
      </w:pPr>
      <w:r w:rsidRPr="006D427B">
        <w:rPr>
          <w:rFonts w:cs="Arial"/>
        </w:rPr>
        <w:t>WOAH</w:t>
      </w:r>
      <w:r w:rsidR="00B854E8" w:rsidRPr="006D427B">
        <w:rPr>
          <w:rFonts w:cs="Arial"/>
        </w:rPr>
        <w:t xml:space="preserve">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w:t>
      </w:r>
      <w:proofErr w:type="gramStart"/>
      <w:r w:rsidR="00B854E8" w:rsidRPr="006D427B">
        <w:rPr>
          <w:rFonts w:cs="Arial"/>
        </w:rPr>
        <w:t>particular genotypes</w:t>
      </w:r>
      <w:proofErr w:type="gramEnd"/>
      <w:r w:rsidR="00B854E8" w:rsidRPr="006D427B">
        <w:rPr>
          <w:rFonts w:cs="Arial"/>
        </w:rPr>
        <w:t xml:space="preserve">, detection of homologous sequences within the host genome). These issues should be communicated to the </w:t>
      </w:r>
      <w:r w:rsidRPr="006D427B">
        <w:rPr>
          <w:rFonts w:cs="Arial"/>
        </w:rPr>
        <w:t>WOAH</w:t>
      </w:r>
      <w:r w:rsidR="00B854E8" w:rsidRPr="006D427B">
        <w:rPr>
          <w:rFonts w:cs="Arial"/>
        </w:rPr>
        <w:t xml:space="preserve"> Reference Laboratories so that advice can be provided to diagnostic laboratories and the standards amended if necessary.</w:t>
      </w:r>
      <w:bookmarkEnd w:id="10"/>
    </w:p>
    <w:p w14:paraId="25E6AEAB" w14:textId="77777777" w:rsidR="00B854E8" w:rsidRPr="006D427B" w:rsidRDefault="00B854E8" w:rsidP="00ED0F29">
      <w:pPr>
        <w:pStyle w:val="Para1"/>
        <w:rPr>
          <w:rFonts w:cs="Arial"/>
        </w:rPr>
        <w:sectPr w:rsidR="00B854E8" w:rsidRPr="006D427B" w:rsidSect="00ED0F2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pPr>
    </w:p>
    <w:p w14:paraId="16709790" w14:textId="70492E71" w:rsidR="00B854E8" w:rsidRPr="006D427B" w:rsidRDefault="00B854E8" w:rsidP="00B854E8">
      <w:pPr>
        <w:pStyle w:val="Tabletitle"/>
      </w:pPr>
      <w:bookmarkStart w:id="11" w:name="_Hlk190635057"/>
      <w:r w:rsidRPr="006D427B">
        <w:lastRenderedPageBreak/>
        <w:t>Table 4.</w:t>
      </w:r>
      <w:r w:rsidRPr="006D427B">
        <w:rPr>
          <w:noProof/>
        </w:rPr>
        <w:t>1</w:t>
      </w:r>
      <w:r w:rsidRPr="006D427B">
        <w:t xml:space="preserve">. </w:t>
      </w:r>
      <w:r w:rsidR="009030A4" w:rsidRPr="006D427B">
        <w:rPr>
          <w:b w:val="0"/>
          <w:bCs w:val="0"/>
        </w:rPr>
        <w:t>WOAH</w:t>
      </w:r>
      <w:r w:rsidRPr="006D427B">
        <w:rPr>
          <w:b w:val="0"/>
          <w:bCs w:val="0"/>
        </w:rPr>
        <w:t xml:space="preserve"> recommended diagnostic methods and their level of validation for surveillance of apparently healthy animals and investigation of clinically affected animals</w:t>
      </w:r>
      <w:r w:rsidRPr="006D427B">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B854E8" w:rsidRPr="00A41BA5" w14:paraId="028EDD8A" w14:textId="77777777" w:rsidTr="2092E50D">
        <w:trPr>
          <w:trHeight w:val="402"/>
          <w:tblHeader/>
          <w:jc w:val="center"/>
        </w:trPr>
        <w:tc>
          <w:tcPr>
            <w:tcW w:w="2399" w:type="dxa"/>
            <w:vMerge w:val="restart"/>
            <w:vAlign w:val="center"/>
          </w:tcPr>
          <w:p w14:paraId="6CC8D132" w14:textId="5FF7FE82" w:rsidR="00B854E8" w:rsidRPr="006D427B" w:rsidRDefault="00B854E8">
            <w:pPr>
              <w:pStyle w:val="TableHead"/>
              <w:rPr>
                <w:rFonts w:ascii="Söhne Kräftig" w:hAnsi="Söhne Kräftig" w:cs="Arial"/>
                <w:b w:val="0"/>
                <w:bCs w:val="0"/>
                <w:sz w:val="16"/>
                <w:szCs w:val="16"/>
              </w:rPr>
            </w:pPr>
            <w:bookmarkStart w:id="12" w:name="_Hlk491943780"/>
            <w:r w:rsidRPr="006D427B">
              <w:rPr>
                <w:rFonts w:ascii="Söhne Kräftig" w:hAnsi="Söhne Kräftig" w:cs="Arial"/>
                <w:b w:val="0"/>
                <w:bCs w:val="0"/>
                <w:sz w:val="16"/>
                <w:szCs w:val="16"/>
              </w:rPr>
              <w:t>Method</w:t>
            </w:r>
          </w:p>
        </w:tc>
        <w:tc>
          <w:tcPr>
            <w:tcW w:w="3833" w:type="dxa"/>
            <w:gridSpan w:val="4"/>
          </w:tcPr>
          <w:p w14:paraId="6F0E5962" w14:textId="65DFF28F" w:rsidR="00B854E8" w:rsidRPr="006D427B" w:rsidRDefault="00B854E8" w:rsidP="008570C6">
            <w:pPr>
              <w:pStyle w:val="TableHead"/>
              <w:numPr>
                <w:ilvl w:val="0"/>
                <w:numId w:val="1"/>
              </w:numPr>
              <w:rPr>
                <w:rFonts w:ascii="Söhne Kräftig" w:hAnsi="Söhne Kräftig" w:cs="Arial"/>
                <w:b w:val="0"/>
                <w:bCs w:val="0"/>
                <w:sz w:val="16"/>
                <w:szCs w:val="16"/>
              </w:rPr>
            </w:pPr>
            <w:r w:rsidRPr="006D427B">
              <w:rPr>
                <w:rFonts w:ascii="Söhne Kräftig" w:hAnsi="Söhne Kräftig" w:cs="Arial"/>
                <w:b w:val="0"/>
                <w:bCs w:val="0"/>
                <w:sz w:val="16"/>
                <w:szCs w:val="16"/>
              </w:rPr>
              <w:t xml:space="preserve">Surveillance of apparently </w:t>
            </w:r>
            <w:r w:rsidR="008570C6" w:rsidRPr="006D427B">
              <w:rPr>
                <w:rFonts w:ascii="Söhne Kräftig" w:hAnsi="Söhne Kräftig" w:cs="Arial"/>
                <w:b w:val="0"/>
                <w:bCs w:val="0"/>
                <w:sz w:val="16"/>
                <w:szCs w:val="16"/>
              </w:rPr>
              <w:br/>
            </w:r>
            <w:r w:rsidRPr="006D427B">
              <w:rPr>
                <w:rFonts w:ascii="Söhne Kräftig" w:hAnsi="Söhne Kräftig" w:cs="Arial"/>
                <w:b w:val="0"/>
                <w:bCs w:val="0"/>
                <w:sz w:val="16"/>
                <w:szCs w:val="16"/>
              </w:rPr>
              <w:t>healthy animals</w:t>
            </w:r>
          </w:p>
        </w:tc>
        <w:tc>
          <w:tcPr>
            <w:tcW w:w="3828" w:type="dxa"/>
            <w:gridSpan w:val="4"/>
          </w:tcPr>
          <w:p w14:paraId="1487E5F0" w14:textId="3BD39C2C" w:rsidR="00B854E8" w:rsidRPr="006D427B" w:rsidRDefault="00B854E8" w:rsidP="008570C6">
            <w:pPr>
              <w:pStyle w:val="TableHead"/>
              <w:numPr>
                <w:ilvl w:val="0"/>
                <w:numId w:val="1"/>
              </w:numPr>
              <w:rPr>
                <w:rFonts w:ascii="Söhne Kräftig" w:hAnsi="Söhne Kräftig" w:cs="Arial"/>
                <w:b w:val="0"/>
                <w:bCs w:val="0"/>
                <w:sz w:val="16"/>
                <w:szCs w:val="16"/>
              </w:rPr>
            </w:pPr>
            <w:r w:rsidRPr="006D427B">
              <w:rPr>
                <w:rFonts w:ascii="Söhne Kräftig" w:hAnsi="Söhne Kräftig" w:cs="Arial"/>
                <w:b w:val="0"/>
                <w:bCs w:val="0"/>
                <w:sz w:val="16"/>
                <w:szCs w:val="16"/>
              </w:rPr>
              <w:t xml:space="preserve">Presumptive diagnosis of </w:t>
            </w:r>
            <w:r w:rsidR="00F30043" w:rsidRPr="006D427B">
              <w:rPr>
                <w:rFonts w:ascii="Söhne Kräftig" w:hAnsi="Söhne Kräftig" w:cs="Arial"/>
                <w:b w:val="0"/>
                <w:bCs w:val="0"/>
                <w:sz w:val="16"/>
                <w:szCs w:val="16"/>
              </w:rPr>
              <w:br/>
            </w:r>
            <w:r w:rsidRPr="006D427B">
              <w:rPr>
                <w:rFonts w:ascii="Söhne Kräftig" w:hAnsi="Söhne Kräftig" w:cs="Arial"/>
                <w:b w:val="0"/>
                <w:bCs w:val="0"/>
                <w:sz w:val="16"/>
                <w:szCs w:val="16"/>
              </w:rPr>
              <w:t>clinically affected animals</w:t>
            </w:r>
          </w:p>
        </w:tc>
        <w:tc>
          <w:tcPr>
            <w:tcW w:w="3827" w:type="dxa"/>
            <w:gridSpan w:val="4"/>
          </w:tcPr>
          <w:p w14:paraId="3C8CD9DE" w14:textId="77777777" w:rsidR="00B854E8" w:rsidRPr="006D427B" w:rsidRDefault="00B854E8" w:rsidP="008570C6">
            <w:pPr>
              <w:pStyle w:val="TableHead"/>
              <w:numPr>
                <w:ilvl w:val="0"/>
                <w:numId w:val="1"/>
              </w:numPr>
              <w:rPr>
                <w:rFonts w:ascii="Söhne Kräftig" w:hAnsi="Söhne Kräftig" w:cs="Arial"/>
                <w:b w:val="0"/>
                <w:bCs w:val="0"/>
                <w:sz w:val="16"/>
                <w:szCs w:val="16"/>
              </w:rPr>
            </w:pPr>
            <w:r w:rsidRPr="006D427B">
              <w:rPr>
                <w:rFonts w:ascii="Söhne Kräftig" w:hAnsi="Söhne Kräftig" w:cs="Arial"/>
                <w:b w:val="0"/>
                <w:bCs w:val="0"/>
                <w:sz w:val="16"/>
                <w:szCs w:val="16"/>
              </w:rPr>
              <w:t>Confirmatory diagnosis</w:t>
            </w:r>
            <w:r w:rsidRPr="006D427B">
              <w:rPr>
                <w:rFonts w:ascii="Söhne Kräftig" w:hAnsi="Söhne Kräftig" w:cs="Arial"/>
                <w:b w:val="0"/>
                <w:bCs w:val="0"/>
                <w:sz w:val="16"/>
                <w:szCs w:val="16"/>
                <w:vertAlign w:val="superscript"/>
              </w:rPr>
              <w:t>1</w:t>
            </w:r>
            <w:r w:rsidRPr="006D427B">
              <w:rPr>
                <w:rFonts w:ascii="Söhne Kräftig" w:hAnsi="Söhne Kräftig" w:cs="Arial"/>
                <w:b w:val="0"/>
                <w:bCs w:val="0"/>
                <w:sz w:val="16"/>
                <w:szCs w:val="16"/>
              </w:rPr>
              <w:t xml:space="preserve"> of a suspect result </w:t>
            </w:r>
            <w:r w:rsidRPr="006D427B">
              <w:rPr>
                <w:rFonts w:ascii="Söhne Kräftig" w:hAnsi="Söhne Kräftig"/>
                <w:b w:val="0"/>
                <w:bCs w:val="0"/>
                <w:sz w:val="16"/>
                <w:szCs w:val="16"/>
              </w:rPr>
              <w:t>from surveillance or presumptive diagnosis</w:t>
            </w:r>
          </w:p>
        </w:tc>
      </w:tr>
      <w:tr w:rsidR="004F53CC" w:rsidRPr="006D427B" w14:paraId="7ECCE743" w14:textId="77777777" w:rsidTr="2092E50D">
        <w:trPr>
          <w:trHeight w:val="402"/>
          <w:tblHeader/>
          <w:jc w:val="center"/>
        </w:trPr>
        <w:tc>
          <w:tcPr>
            <w:tcW w:w="2399" w:type="dxa"/>
            <w:vMerge/>
            <w:vAlign w:val="center"/>
          </w:tcPr>
          <w:p w14:paraId="3DD599FA" w14:textId="77777777" w:rsidR="00B854E8" w:rsidRPr="006D427B" w:rsidRDefault="00B854E8">
            <w:pPr>
              <w:pStyle w:val="TableHead"/>
              <w:rPr>
                <w:rFonts w:ascii="Söhne Kräftig" w:hAnsi="Söhne Kräftig" w:cs="Arial"/>
                <w:sz w:val="16"/>
                <w:szCs w:val="16"/>
              </w:rPr>
            </w:pPr>
          </w:p>
        </w:tc>
        <w:tc>
          <w:tcPr>
            <w:tcW w:w="1140" w:type="dxa"/>
            <w:vAlign w:val="center"/>
          </w:tcPr>
          <w:p w14:paraId="4680D10E"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Early life stages</w:t>
            </w:r>
            <w:r w:rsidRPr="006D427B">
              <w:rPr>
                <w:rFonts w:ascii="Söhne Kräftig" w:hAnsi="Söhne Kräftig" w:cs="Arial"/>
                <w:b w:val="0"/>
                <w:bCs w:val="0"/>
                <w:sz w:val="16"/>
                <w:szCs w:val="16"/>
                <w:vertAlign w:val="superscript"/>
              </w:rPr>
              <w:t>2</w:t>
            </w:r>
          </w:p>
        </w:tc>
        <w:tc>
          <w:tcPr>
            <w:tcW w:w="1134" w:type="dxa"/>
            <w:vAlign w:val="center"/>
          </w:tcPr>
          <w:p w14:paraId="56E0F0A2"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Juveniles</w:t>
            </w:r>
            <w:r w:rsidRPr="006D427B">
              <w:rPr>
                <w:rFonts w:ascii="Söhne Kräftig" w:hAnsi="Söhne Kräftig" w:cs="Arial"/>
                <w:b w:val="0"/>
                <w:bCs w:val="0"/>
                <w:sz w:val="16"/>
                <w:szCs w:val="16"/>
                <w:vertAlign w:val="superscript"/>
              </w:rPr>
              <w:t>2</w:t>
            </w:r>
          </w:p>
        </w:tc>
        <w:tc>
          <w:tcPr>
            <w:tcW w:w="851" w:type="dxa"/>
            <w:vAlign w:val="center"/>
          </w:tcPr>
          <w:p w14:paraId="0E7C5BEF"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Adults</w:t>
            </w:r>
          </w:p>
        </w:tc>
        <w:tc>
          <w:tcPr>
            <w:tcW w:w="708" w:type="dxa"/>
            <w:vAlign w:val="center"/>
          </w:tcPr>
          <w:p w14:paraId="53DF9493"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LV</w:t>
            </w:r>
          </w:p>
        </w:tc>
        <w:tc>
          <w:tcPr>
            <w:tcW w:w="1134" w:type="dxa"/>
            <w:vAlign w:val="center"/>
          </w:tcPr>
          <w:p w14:paraId="4353A072"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lang w:val="en-US"/>
              </w:rPr>
              <w:t>Early life stages</w:t>
            </w:r>
            <w:r w:rsidRPr="006D427B">
              <w:rPr>
                <w:rFonts w:ascii="Söhne Kräftig" w:hAnsi="Söhne Kräftig" w:cs="Arial"/>
                <w:b w:val="0"/>
                <w:bCs w:val="0"/>
                <w:sz w:val="16"/>
                <w:szCs w:val="16"/>
                <w:vertAlign w:val="superscript"/>
                <w:lang w:val="en-US"/>
              </w:rPr>
              <w:t>2</w:t>
            </w:r>
          </w:p>
        </w:tc>
        <w:tc>
          <w:tcPr>
            <w:tcW w:w="1134" w:type="dxa"/>
            <w:vAlign w:val="center"/>
          </w:tcPr>
          <w:p w14:paraId="7A3F1578"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Juveniles</w:t>
            </w:r>
            <w:r w:rsidRPr="006D427B">
              <w:rPr>
                <w:rFonts w:ascii="Söhne Kräftig" w:hAnsi="Söhne Kräftig" w:cs="Arial"/>
                <w:b w:val="0"/>
                <w:bCs w:val="0"/>
                <w:sz w:val="16"/>
                <w:szCs w:val="16"/>
                <w:vertAlign w:val="superscript"/>
                <w:lang w:val="en-US"/>
              </w:rPr>
              <w:t>2</w:t>
            </w:r>
          </w:p>
        </w:tc>
        <w:tc>
          <w:tcPr>
            <w:tcW w:w="851" w:type="dxa"/>
            <w:vAlign w:val="center"/>
          </w:tcPr>
          <w:p w14:paraId="6127978D"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Adults</w:t>
            </w:r>
          </w:p>
        </w:tc>
        <w:tc>
          <w:tcPr>
            <w:tcW w:w="709" w:type="dxa"/>
            <w:vAlign w:val="center"/>
          </w:tcPr>
          <w:p w14:paraId="46EDD8E9"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LV</w:t>
            </w:r>
          </w:p>
        </w:tc>
        <w:tc>
          <w:tcPr>
            <w:tcW w:w="1134" w:type="dxa"/>
            <w:vAlign w:val="center"/>
          </w:tcPr>
          <w:p w14:paraId="2DA73092"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lang w:val="en-US"/>
              </w:rPr>
              <w:t>Early life stages</w:t>
            </w:r>
            <w:r w:rsidRPr="006D427B">
              <w:rPr>
                <w:rFonts w:ascii="Söhne Kräftig" w:hAnsi="Söhne Kräftig" w:cs="Arial"/>
                <w:b w:val="0"/>
                <w:bCs w:val="0"/>
                <w:sz w:val="16"/>
                <w:szCs w:val="16"/>
                <w:vertAlign w:val="superscript"/>
                <w:lang w:val="en-US"/>
              </w:rPr>
              <w:t>2</w:t>
            </w:r>
          </w:p>
        </w:tc>
        <w:tc>
          <w:tcPr>
            <w:tcW w:w="1134" w:type="dxa"/>
            <w:vAlign w:val="center"/>
          </w:tcPr>
          <w:p w14:paraId="01FF2749"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Juveniles</w:t>
            </w:r>
            <w:r w:rsidRPr="006D427B">
              <w:rPr>
                <w:rFonts w:ascii="Söhne Kräftig" w:hAnsi="Söhne Kräftig" w:cs="Arial"/>
                <w:b w:val="0"/>
                <w:bCs w:val="0"/>
                <w:sz w:val="16"/>
                <w:szCs w:val="16"/>
                <w:vertAlign w:val="superscript"/>
                <w:lang w:val="en-US"/>
              </w:rPr>
              <w:t>2</w:t>
            </w:r>
          </w:p>
        </w:tc>
        <w:tc>
          <w:tcPr>
            <w:tcW w:w="850" w:type="dxa"/>
            <w:vAlign w:val="center"/>
          </w:tcPr>
          <w:p w14:paraId="3492D19E"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Adults</w:t>
            </w:r>
          </w:p>
        </w:tc>
        <w:tc>
          <w:tcPr>
            <w:tcW w:w="709" w:type="dxa"/>
            <w:vAlign w:val="center"/>
          </w:tcPr>
          <w:p w14:paraId="7F8079C8"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LV</w:t>
            </w:r>
          </w:p>
        </w:tc>
      </w:tr>
      <w:tr w:rsidR="00437CE1" w:rsidRPr="006D427B" w14:paraId="14D3BDC5" w14:textId="77777777" w:rsidTr="2092E50D">
        <w:trPr>
          <w:trHeight w:val="227"/>
          <w:jc w:val="center"/>
        </w:trPr>
        <w:tc>
          <w:tcPr>
            <w:tcW w:w="2399" w:type="dxa"/>
            <w:vAlign w:val="center"/>
          </w:tcPr>
          <w:p w14:paraId="2747666E" w14:textId="77777777" w:rsidR="004E37B0" w:rsidRPr="006D427B" w:rsidRDefault="004E37B0" w:rsidP="00E029C1">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Wet mounts</w:t>
            </w:r>
          </w:p>
        </w:tc>
        <w:tc>
          <w:tcPr>
            <w:tcW w:w="1140" w:type="dxa"/>
            <w:shd w:val="clear" w:color="auto" w:fill="D9D9D9" w:themeFill="background1" w:themeFillShade="D9"/>
            <w:vAlign w:val="center"/>
          </w:tcPr>
          <w:p w14:paraId="793163DF" w14:textId="77777777" w:rsidR="004E37B0" w:rsidRPr="006D427B" w:rsidRDefault="004E37B0" w:rsidP="00E029C1">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6D16103" w14:textId="77777777" w:rsidR="004E37B0" w:rsidRPr="006D427B" w:rsidRDefault="004E37B0" w:rsidP="00E029C1">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5983ABCC" w14:textId="77777777" w:rsidR="004E37B0" w:rsidRPr="006D427B" w:rsidRDefault="004E37B0" w:rsidP="00E029C1">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2B6286C1" w14:textId="77777777" w:rsidR="004E37B0" w:rsidRPr="006D427B" w:rsidRDefault="004E37B0" w:rsidP="00E029C1">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DD86530" w14:textId="77777777" w:rsidR="004E37B0" w:rsidRPr="006D427B" w:rsidRDefault="004E37B0" w:rsidP="00E029C1">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71AEE2C9" w14:textId="77777777" w:rsidR="004E37B0" w:rsidRPr="006D427B" w:rsidRDefault="004E37B0" w:rsidP="00E029C1">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5D3F3F11" w14:textId="77777777" w:rsidR="004E37B0" w:rsidRPr="006D427B" w:rsidRDefault="004E37B0" w:rsidP="00E029C1">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5E63475D" w14:textId="77777777" w:rsidR="004E37B0" w:rsidRPr="006D427B" w:rsidRDefault="004E37B0" w:rsidP="00E029C1">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21B5B2F9" w14:textId="77777777" w:rsidR="004E37B0" w:rsidRPr="006D427B" w:rsidRDefault="004E37B0" w:rsidP="00E029C1">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529FBB6B" w14:textId="77777777" w:rsidR="004E37B0" w:rsidRPr="006D427B" w:rsidRDefault="004E37B0" w:rsidP="00E029C1">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54E5E437" w14:textId="77777777" w:rsidR="004E37B0" w:rsidRPr="006D427B" w:rsidRDefault="004E37B0" w:rsidP="00E029C1">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127104D9" w14:textId="77777777" w:rsidR="004E37B0" w:rsidRPr="006D427B" w:rsidRDefault="004E37B0" w:rsidP="00E029C1">
            <w:pPr>
              <w:pStyle w:val="Tabletext"/>
              <w:spacing w:before="80" w:after="80"/>
              <w:rPr>
                <w:rFonts w:ascii="Söhne" w:hAnsi="Söhne"/>
                <w:sz w:val="16"/>
                <w:szCs w:val="16"/>
              </w:rPr>
            </w:pPr>
          </w:p>
        </w:tc>
      </w:tr>
      <w:tr w:rsidR="0062587A" w:rsidRPr="006D427B" w14:paraId="6667D24C" w14:textId="77777777" w:rsidTr="2092E50D">
        <w:trPr>
          <w:trHeight w:val="324"/>
          <w:jc w:val="center"/>
        </w:trPr>
        <w:tc>
          <w:tcPr>
            <w:tcW w:w="2399" w:type="dxa"/>
            <w:vAlign w:val="center"/>
          </w:tcPr>
          <w:p w14:paraId="078E9896" w14:textId="4E52FA6E" w:rsidR="0062587A" w:rsidRPr="006D427B" w:rsidRDefault="0062587A" w:rsidP="0062587A">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Histopathology</w:t>
            </w:r>
          </w:p>
        </w:tc>
        <w:tc>
          <w:tcPr>
            <w:tcW w:w="1140" w:type="dxa"/>
            <w:shd w:val="clear" w:color="auto" w:fill="auto"/>
            <w:vAlign w:val="center"/>
          </w:tcPr>
          <w:p w14:paraId="048057E3" w14:textId="7CD3C795"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1134" w:type="dxa"/>
            <w:shd w:val="clear" w:color="auto" w:fill="auto"/>
            <w:vAlign w:val="center"/>
          </w:tcPr>
          <w:p w14:paraId="4AB84514" w14:textId="082F5E8C"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851" w:type="dxa"/>
            <w:shd w:val="clear" w:color="auto" w:fill="auto"/>
            <w:vAlign w:val="center"/>
          </w:tcPr>
          <w:p w14:paraId="1A3EF127" w14:textId="1C4AE618"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708" w:type="dxa"/>
            <w:shd w:val="clear" w:color="auto" w:fill="auto"/>
            <w:vAlign w:val="center"/>
          </w:tcPr>
          <w:p w14:paraId="7BB61352" w14:textId="24BE3F8B"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1</w:t>
            </w:r>
          </w:p>
        </w:tc>
        <w:tc>
          <w:tcPr>
            <w:tcW w:w="1134" w:type="dxa"/>
            <w:shd w:val="clear" w:color="auto" w:fill="auto"/>
            <w:vAlign w:val="center"/>
          </w:tcPr>
          <w:p w14:paraId="13102CCC" w14:textId="6D7C002F"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w:t>
            </w:r>
          </w:p>
        </w:tc>
        <w:tc>
          <w:tcPr>
            <w:tcW w:w="1134" w:type="dxa"/>
            <w:shd w:val="clear" w:color="auto" w:fill="auto"/>
            <w:vAlign w:val="center"/>
          </w:tcPr>
          <w:p w14:paraId="6E935943" w14:textId="720ED156"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w:t>
            </w:r>
            <w:r w:rsidR="0005437B" w:rsidRPr="006D427B">
              <w:rPr>
                <w:rFonts w:ascii="Söhne" w:hAnsi="Söhne"/>
                <w:bCs w:val="0"/>
                <w:sz w:val="16"/>
                <w:szCs w:val="16"/>
              </w:rPr>
              <w:t>+</w:t>
            </w:r>
          </w:p>
        </w:tc>
        <w:tc>
          <w:tcPr>
            <w:tcW w:w="851" w:type="dxa"/>
            <w:shd w:val="clear" w:color="auto" w:fill="auto"/>
            <w:vAlign w:val="center"/>
          </w:tcPr>
          <w:p w14:paraId="25D4404D" w14:textId="3D81B3D3"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w:t>
            </w:r>
            <w:r w:rsidR="0005437B" w:rsidRPr="006D427B">
              <w:rPr>
                <w:rFonts w:ascii="Söhne" w:hAnsi="Söhne"/>
                <w:bCs w:val="0"/>
                <w:sz w:val="16"/>
                <w:szCs w:val="16"/>
              </w:rPr>
              <w:t>+</w:t>
            </w:r>
          </w:p>
        </w:tc>
        <w:tc>
          <w:tcPr>
            <w:tcW w:w="709" w:type="dxa"/>
            <w:shd w:val="clear" w:color="auto" w:fill="auto"/>
            <w:vAlign w:val="center"/>
          </w:tcPr>
          <w:p w14:paraId="5AB37F3F" w14:textId="02BEA300"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1</w:t>
            </w:r>
          </w:p>
        </w:tc>
        <w:tc>
          <w:tcPr>
            <w:tcW w:w="1134" w:type="dxa"/>
            <w:shd w:val="clear" w:color="auto" w:fill="D9D9D9" w:themeFill="background1" w:themeFillShade="D9"/>
            <w:vAlign w:val="center"/>
          </w:tcPr>
          <w:p w14:paraId="33257359" w14:textId="77777777" w:rsidR="0062587A" w:rsidRPr="006D427B" w:rsidRDefault="0062587A"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3EC6E08B" w14:textId="77777777" w:rsidR="0062587A" w:rsidRPr="006D427B" w:rsidRDefault="0062587A" w:rsidP="0062587A">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6EA10BB6" w14:textId="77777777" w:rsidR="0062587A" w:rsidRPr="006D427B" w:rsidRDefault="0062587A" w:rsidP="0062587A">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34B2F71" w14:textId="77777777" w:rsidR="0062587A" w:rsidRPr="006D427B" w:rsidRDefault="0062587A" w:rsidP="0062587A">
            <w:pPr>
              <w:pStyle w:val="Tabletext"/>
              <w:spacing w:before="80" w:after="80"/>
              <w:rPr>
                <w:rFonts w:ascii="Söhne" w:hAnsi="Söhne"/>
                <w:bCs w:val="0"/>
                <w:sz w:val="16"/>
                <w:szCs w:val="16"/>
              </w:rPr>
            </w:pPr>
          </w:p>
        </w:tc>
      </w:tr>
      <w:tr w:rsidR="00437CE1" w:rsidRPr="006D427B" w14:paraId="14A7D3A8" w14:textId="77777777" w:rsidTr="2092E50D">
        <w:trPr>
          <w:trHeight w:val="324"/>
          <w:jc w:val="center"/>
        </w:trPr>
        <w:tc>
          <w:tcPr>
            <w:tcW w:w="2399" w:type="dxa"/>
            <w:vAlign w:val="center"/>
          </w:tcPr>
          <w:p w14:paraId="7F9FFA68" w14:textId="27C9E8D8" w:rsidR="007B2511" w:rsidRPr="006D427B" w:rsidRDefault="009B7DBC" w:rsidP="0062587A">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Cell cultures</w:t>
            </w:r>
          </w:p>
        </w:tc>
        <w:tc>
          <w:tcPr>
            <w:tcW w:w="1140" w:type="dxa"/>
            <w:shd w:val="clear" w:color="auto" w:fill="D9D9D9" w:themeFill="background1" w:themeFillShade="D9"/>
            <w:vAlign w:val="center"/>
          </w:tcPr>
          <w:p w14:paraId="37567360" w14:textId="77777777" w:rsidR="007B2511" w:rsidRPr="006D427B" w:rsidRDefault="007B2511" w:rsidP="0062587A">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0A94ECA4" w14:textId="77777777" w:rsidR="007B2511" w:rsidRPr="006D427B" w:rsidRDefault="007B2511" w:rsidP="0062587A">
            <w:pPr>
              <w:pStyle w:val="TableHead"/>
              <w:spacing w:before="80" w:after="80"/>
              <w:rPr>
                <w:rFonts w:ascii="Söhne" w:hAnsi="Söhne" w:cs="Arial"/>
                <w:b w:val="0"/>
                <w:bCs w:val="0"/>
                <w:sz w:val="16"/>
                <w:szCs w:val="16"/>
              </w:rPr>
            </w:pPr>
          </w:p>
        </w:tc>
        <w:tc>
          <w:tcPr>
            <w:tcW w:w="851" w:type="dxa"/>
            <w:shd w:val="clear" w:color="auto" w:fill="D9D9D9" w:themeFill="background1" w:themeFillShade="D9"/>
            <w:vAlign w:val="center"/>
          </w:tcPr>
          <w:p w14:paraId="0E46FCFD" w14:textId="77777777" w:rsidR="007B2511" w:rsidRPr="006D427B" w:rsidRDefault="007B2511" w:rsidP="0062587A">
            <w:pPr>
              <w:pStyle w:val="TableHead"/>
              <w:spacing w:before="80" w:after="80"/>
              <w:rPr>
                <w:rFonts w:ascii="Söhne" w:hAnsi="Söhne" w:cs="Arial"/>
                <w:b w:val="0"/>
                <w:bCs w:val="0"/>
                <w:sz w:val="16"/>
                <w:szCs w:val="16"/>
              </w:rPr>
            </w:pPr>
          </w:p>
        </w:tc>
        <w:tc>
          <w:tcPr>
            <w:tcW w:w="708" w:type="dxa"/>
            <w:shd w:val="clear" w:color="auto" w:fill="D9D9D9" w:themeFill="background1" w:themeFillShade="D9"/>
            <w:vAlign w:val="center"/>
          </w:tcPr>
          <w:p w14:paraId="54642C3B" w14:textId="77777777" w:rsidR="007B2511" w:rsidRPr="006D427B" w:rsidRDefault="007B2511" w:rsidP="0062587A">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2201C7B9" w14:textId="77777777" w:rsidR="007B2511" w:rsidRPr="006D427B" w:rsidRDefault="007B2511"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3957DA73" w14:textId="77777777" w:rsidR="007B2511" w:rsidRPr="006D427B" w:rsidRDefault="007B2511" w:rsidP="0062587A">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7A644A3C" w14:textId="77777777" w:rsidR="007B2511" w:rsidRPr="006D427B" w:rsidRDefault="007B2511" w:rsidP="0062587A">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7480E58A" w14:textId="77777777" w:rsidR="007B2511" w:rsidRPr="006D427B" w:rsidRDefault="007B2511"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0FF2E82E" w14:textId="77777777" w:rsidR="007B2511" w:rsidRPr="006D427B" w:rsidRDefault="007B2511"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74C1E8BA" w14:textId="77777777" w:rsidR="007B2511" w:rsidRPr="006D427B" w:rsidRDefault="007B2511" w:rsidP="0062587A">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4E0A145E" w14:textId="77777777" w:rsidR="007B2511" w:rsidRPr="006D427B" w:rsidRDefault="007B2511" w:rsidP="0062587A">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73BC2A18" w14:textId="77777777" w:rsidR="007B2511" w:rsidRPr="006D427B" w:rsidRDefault="007B2511" w:rsidP="0062587A">
            <w:pPr>
              <w:pStyle w:val="Tabletext"/>
              <w:spacing w:before="80" w:after="80"/>
              <w:rPr>
                <w:rFonts w:ascii="Söhne" w:hAnsi="Söhne"/>
                <w:bCs w:val="0"/>
                <w:sz w:val="16"/>
                <w:szCs w:val="16"/>
              </w:rPr>
            </w:pPr>
          </w:p>
        </w:tc>
      </w:tr>
      <w:tr w:rsidR="00EC149D" w:rsidRPr="006D427B" w14:paraId="6FAFECBA" w14:textId="77777777" w:rsidTr="2092E50D">
        <w:trPr>
          <w:trHeight w:val="402"/>
          <w:jc w:val="center"/>
        </w:trPr>
        <w:tc>
          <w:tcPr>
            <w:tcW w:w="2399" w:type="dxa"/>
            <w:vAlign w:val="center"/>
          </w:tcPr>
          <w:p w14:paraId="7FF8717F" w14:textId="77777777" w:rsidR="00EC149D" w:rsidRPr="006D427B" w:rsidRDefault="00EC149D" w:rsidP="00EC149D">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Real-time PCR</w:t>
            </w:r>
          </w:p>
        </w:tc>
        <w:tc>
          <w:tcPr>
            <w:tcW w:w="1140" w:type="dxa"/>
            <w:vAlign w:val="center"/>
          </w:tcPr>
          <w:p w14:paraId="792720BA" w14:textId="6124F573" w:rsidR="00EC149D" w:rsidRPr="006D427B" w:rsidRDefault="00EC149D"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1134" w:type="dxa"/>
            <w:vAlign w:val="center"/>
          </w:tcPr>
          <w:p w14:paraId="6D1F68B1" w14:textId="0B8483F6" w:rsidR="00EC149D" w:rsidRPr="006D427B" w:rsidRDefault="00EC149D"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851" w:type="dxa"/>
            <w:vAlign w:val="center"/>
          </w:tcPr>
          <w:p w14:paraId="69004882" w14:textId="5122A382" w:rsidR="00EC149D" w:rsidRPr="006D427B" w:rsidRDefault="00EC149D"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708" w:type="dxa"/>
            <w:vAlign w:val="center"/>
          </w:tcPr>
          <w:p w14:paraId="4AEA86F5" w14:textId="2032BA1B" w:rsidR="00EC149D" w:rsidRPr="006D427B" w:rsidRDefault="006F3A6C"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3</w:t>
            </w:r>
          </w:p>
        </w:tc>
        <w:tc>
          <w:tcPr>
            <w:tcW w:w="1134" w:type="dxa"/>
            <w:vAlign w:val="center"/>
          </w:tcPr>
          <w:p w14:paraId="224835C7" w14:textId="6703DCBA"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1134" w:type="dxa"/>
            <w:vAlign w:val="center"/>
          </w:tcPr>
          <w:p w14:paraId="4743E5CA" w14:textId="1A37BAB1"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851" w:type="dxa"/>
            <w:vAlign w:val="center"/>
          </w:tcPr>
          <w:p w14:paraId="12D34FB3" w14:textId="6701DA16"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709" w:type="dxa"/>
            <w:vAlign w:val="center"/>
          </w:tcPr>
          <w:p w14:paraId="4FA54D49" w14:textId="6AFEC30B" w:rsidR="00EC149D" w:rsidRPr="006D427B" w:rsidRDefault="001B13C0" w:rsidP="00EC149D">
            <w:pPr>
              <w:pStyle w:val="Tabletext"/>
              <w:spacing w:before="80" w:after="80"/>
              <w:rPr>
                <w:rFonts w:ascii="Söhne" w:hAnsi="Söhne"/>
                <w:bCs w:val="0"/>
                <w:sz w:val="16"/>
                <w:szCs w:val="16"/>
              </w:rPr>
            </w:pPr>
            <w:r w:rsidRPr="006D427B">
              <w:rPr>
                <w:rFonts w:ascii="Söhne" w:hAnsi="Söhne"/>
                <w:bCs w:val="0"/>
                <w:sz w:val="16"/>
                <w:szCs w:val="16"/>
              </w:rPr>
              <w:t>3</w:t>
            </w:r>
          </w:p>
        </w:tc>
        <w:tc>
          <w:tcPr>
            <w:tcW w:w="1134" w:type="dxa"/>
            <w:vAlign w:val="center"/>
          </w:tcPr>
          <w:p w14:paraId="1392B965" w14:textId="3F918BA2"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1134" w:type="dxa"/>
            <w:vAlign w:val="center"/>
          </w:tcPr>
          <w:p w14:paraId="7EDF234A" w14:textId="4DA6A755"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850" w:type="dxa"/>
            <w:vAlign w:val="center"/>
          </w:tcPr>
          <w:p w14:paraId="5159D8A6" w14:textId="0D6E4DC9"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709" w:type="dxa"/>
            <w:vAlign w:val="center"/>
          </w:tcPr>
          <w:p w14:paraId="7ED9416D" w14:textId="7317F49F" w:rsidR="00EC149D" w:rsidRPr="006D427B" w:rsidRDefault="00302F56" w:rsidP="00EC149D">
            <w:pPr>
              <w:pStyle w:val="Tabletext"/>
              <w:spacing w:before="80" w:after="80"/>
              <w:rPr>
                <w:rFonts w:ascii="Söhne" w:hAnsi="Söhne"/>
                <w:bCs w:val="0"/>
                <w:sz w:val="16"/>
                <w:szCs w:val="16"/>
              </w:rPr>
            </w:pPr>
            <w:r w:rsidRPr="006D427B">
              <w:rPr>
                <w:rFonts w:ascii="Söhne" w:hAnsi="Söhne"/>
                <w:bCs w:val="0"/>
                <w:sz w:val="16"/>
                <w:szCs w:val="16"/>
              </w:rPr>
              <w:t>3</w:t>
            </w:r>
          </w:p>
        </w:tc>
      </w:tr>
      <w:tr w:rsidR="00A45489" w:rsidRPr="006D427B" w14:paraId="4851F0F2" w14:textId="77777777" w:rsidTr="00D4413B">
        <w:trPr>
          <w:trHeight w:val="402"/>
          <w:jc w:val="center"/>
        </w:trPr>
        <w:tc>
          <w:tcPr>
            <w:tcW w:w="2399" w:type="dxa"/>
            <w:vAlign w:val="center"/>
          </w:tcPr>
          <w:p w14:paraId="4B199EC5" w14:textId="77777777" w:rsidR="00A45489" w:rsidRPr="006D427B" w:rsidRDefault="00A45489" w:rsidP="00A45489">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Conventional PCR</w:t>
            </w:r>
          </w:p>
        </w:tc>
        <w:tc>
          <w:tcPr>
            <w:tcW w:w="1140" w:type="dxa"/>
            <w:vAlign w:val="center"/>
          </w:tcPr>
          <w:p w14:paraId="30ECC781" w14:textId="0796184B" w:rsidR="00A45489" w:rsidRPr="006D427B" w:rsidRDefault="52E39A49" w:rsidP="00A45489">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1134" w:type="dxa"/>
            <w:vAlign w:val="center"/>
          </w:tcPr>
          <w:p w14:paraId="06AE74D6" w14:textId="242EBD1B" w:rsidR="00A45489" w:rsidRPr="006D427B" w:rsidRDefault="00A45489" w:rsidP="0027179C">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851" w:type="dxa"/>
            <w:vAlign w:val="center"/>
          </w:tcPr>
          <w:p w14:paraId="6DC4E877" w14:textId="30196FB4" w:rsidR="00A45489" w:rsidRPr="006D427B" w:rsidRDefault="00A45489" w:rsidP="00A45489">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708" w:type="dxa"/>
            <w:vAlign w:val="center"/>
          </w:tcPr>
          <w:p w14:paraId="36171C4F" w14:textId="5ADF1D63" w:rsidR="00A45489" w:rsidRPr="006D427B" w:rsidRDefault="00A45489" w:rsidP="00A45489">
            <w:pPr>
              <w:pStyle w:val="TableHead"/>
              <w:spacing w:before="80" w:after="80"/>
              <w:rPr>
                <w:rFonts w:ascii="Söhne" w:hAnsi="Söhne" w:cs="Arial"/>
                <w:b w:val="0"/>
                <w:bCs w:val="0"/>
                <w:sz w:val="16"/>
                <w:szCs w:val="16"/>
              </w:rPr>
            </w:pPr>
            <w:r w:rsidRPr="006D427B">
              <w:rPr>
                <w:rFonts w:ascii="Söhne" w:hAnsi="Söhne" w:cs="Arial"/>
                <w:b w:val="0"/>
                <w:bCs w:val="0"/>
                <w:sz w:val="16"/>
                <w:szCs w:val="16"/>
              </w:rPr>
              <w:t>1</w:t>
            </w:r>
          </w:p>
        </w:tc>
        <w:tc>
          <w:tcPr>
            <w:tcW w:w="1134" w:type="dxa"/>
            <w:vAlign w:val="center"/>
          </w:tcPr>
          <w:p w14:paraId="2FA5DEF0" w14:textId="55D96630"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w:t>
            </w:r>
          </w:p>
        </w:tc>
        <w:tc>
          <w:tcPr>
            <w:tcW w:w="1134" w:type="dxa"/>
            <w:vAlign w:val="center"/>
          </w:tcPr>
          <w:p w14:paraId="096667AB" w14:textId="10321D40"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w:t>
            </w:r>
          </w:p>
        </w:tc>
        <w:tc>
          <w:tcPr>
            <w:tcW w:w="851" w:type="dxa"/>
            <w:vAlign w:val="center"/>
          </w:tcPr>
          <w:p w14:paraId="38A3D3BA" w14:textId="6D98E39C"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w:t>
            </w:r>
          </w:p>
        </w:tc>
        <w:tc>
          <w:tcPr>
            <w:tcW w:w="709" w:type="dxa"/>
            <w:vAlign w:val="center"/>
          </w:tcPr>
          <w:p w14:paraId="7FFE60C8" w14:textId="50AE9D67"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1</w:t>
            </w:r>
          </w:p>
        </w:tc>
        <w:tc>
          <w:tcPr>
            <w:tcW w:w="1134" w:type="dxa"/>
            <w:shd w:val="clear" w:color="auto" w:fill="D9D9D9" w:themeFill="background1" w:themeFillShade="D9"/>
            <w:vAlign w:val="center"/>
          </w:tcPr>
          <w:p w14:paraId="5CD3CD2B" w14:textId="77777777" w:rsidR="00A45489" w:rsidRPr="006D427B" w:rsidRDefault="00A45489" w:rsidP="00A45489">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4472D5D8" w14:textId="77777777" w:rsidR="00A45489" w:rsidRPr="006D427B" w:rsidRDefault="00A45489" w:rsidP="00A45489">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0482968A" w14:textId="77777777" w:rsidR="00A45489" w:rsidRPr="006D427B" w:rsidRDefault="00A45489" w:rsidP="00A45489">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20D5E229" w14:textId="77777777" w:rsidR="00A45489" w:rsidRPr="006D427B" w:rsidRDefault="00A45489" w:rsidP="00A45489">
            <w:pPr>
              <w:pStyle w:val="Tabletext"/>
              <w:spacing w:before="80" w:after="80"/>
              <w:rPr>
                <w:rFonts w:ascii="Söhne" w:hAnsi="Söhne"/>
                <w:sz w:val="16"/>
                <w:szCs w:val="16"/>
              </w:rPr>
            </w:pPr>
          </w:p>
        </w:tc>
      </w:tr>
      <w:tr w:rsidR="00D77923" w:rsidRPr="006D427B" w14:paraId="74D7A66D" w14:textId="77777777" w:rsidTr="003E5EE5">
        <w:trPr>
          <w:trHeight w:val="402"/>
          <w:jc w:val="center"/>
        </w:trPr>
        <w:tc>
          <w:tcPr>
            <w:tcW w:w="2399" w:type="dxa"/>
            <w:vAlign w:val="center"/>
          </w:tcPr>
          <w:p w14:paraId="0A955AA5" w14:textId="0C8F02CB" w:rsidR="00D77923" w:rsidRPr="006D427B" w:rsidRDefault="00D77923" w:rsidP="00D77923">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Conventional PCR followed by amplicon sequencing</w:t>
            </w:r>
          </w:p>
        </w:tc>
        <w:tc>
          <w:tcPr>
            <w:tcW w:w="1140" w:type="dxa"/>
            <w:tcBorders>
              <w:bottom w:val="single" w:sz="4" w:space="0" w:color="auto"/>
            </w:tcBorders>
            <w:shd w:val="clear" w:color="auto" w:fill="D9D9D9" w:themeFill="background1" w:themeFillShade="D9"/>
            <w:vAlign w:val="center"/>
          </w:tcPr>
          <w:p w14:paraId="1EC3208B" w14:textId="77777777" w:rsidR="00D77923" w:rsidRPr="006D427B" w:rsidRDefault="00D77923" w:rsidP="00D77923">
            <w:pPr>
              <w:pStyle w:val="TableHead"/>
              <w:spacing w:before="80" w:after="80"/>
              <w:rPr>
                <w:rFonts w:ascii="Söhne" w:hAnsi="Söhne" w:cs="Arial"/>
                <w:sz w:val="16"/>
                <w:szCs w:val="16"/>
              </w:rPr>
            </w:pPr>
          </w:p>
        </w:tc>
        <w:tc>
          <w:tcPr>
            <w:tcW w:w="1134" w:type="dxa"/>
            <w:tcBorders>
              <w:bottom w:val="single" w:sz="4" w:space="0" w:color="auto"/>
            </w:tcBorders>
            <w:shd w:val="clear" w:color="auto" w:fill="D9D9D9" w:themeFill="background1" w:themeFillShade="D9"/>
            <w:vAlign w:val="center"/>
          </w:tcPr>
          <w:p w14:paraId="3EC43B9A" w14:textId="77777777" w:rsidR="00D77923" w:rsidRPr="006D427B" w:rsidRDefault="00D77923" w:rsidP="00D77923">
            <w:pPr>
              <w:pStyle w:val="TableHead"/>
              <w:spacing w:before="80" w:after="80"/>
              <w:rPr>
                <w:rFonts w:ascii="Söhne" w:hAnsi="Söhne" w:cs="Arial"/>
                <w:sz w:val="16"/>
                <w:szCs w:val="16"/>
              </w:rPr>
            </w:pPr>
          </w:p>
        </w:tc>
        <w:tc>
          <w:tcPr>
            <w:tcW w:w="851" w:type="dxa"/>
            <w:tcBorders>
              <w:bottom w:val="single" w:sz="4" w:space="0" w:color="auto"/>
            </w:tcBorders>
            <w:shd w:val="clear" w:color="auto" w:fill="D9D9D9" w:themeFill="background1" w:themeFillShade="D9"/>
            <w:vAlign w:val="center"/>
          </w:tcPr>
          <w:p w14:paraId="092F6B40" w14:textId="77777777" w:rsidR="00D77923" w:rsidRPr="006D427B" w:rsidRDefault="00D77923" w:rsidP="00D77923">
            <w:pPr>
              <w:pStyle w:val="TableHead"/>
              <w:spacing w:before="80" w:after="80"/>
              <w:rPr>
                <w:rFonts w:ascii="Söhne" w:hAnsi="Söhne" w:cs="Arial"/>
                <w:sz w:val="16"/>
                <w:szCs w:val="16"/>
              </w:rPr>
            </w:pPr>
          </w:p>
        </w:tc>
        <w:tc>
          <w:tcPr>
            <w:tcW w:w="708" w:type="dxa"/>
            <w:tcBorders>
              <w:bottom w:val="single" w:sz="4" w:space="0" w:color="auto"/>
            </w:tcBorders>
            <w:shd w:val="clear" w:color="auto" w:fill="D9D9D9" w:themeFill="background1" w:themeFillShade="D9"/>
            <w:vAlign w:val="center"/>
          </w:tcPr>
          <w:p w14:paraId="7B3223BA" w14:textId="77777777" w:rsidR="00D77923" w:rsidRPr="006D427B" w:rsidRDefault="00D77923" w:rsidP="00D77923">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4D91A096" w14:textId="77777777" w:rsidR="00D77923" w:rsidRPr="006D427B" w:rsidRDefault="00D77923" w:rsidP="00D77923">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66CA8ACF" w14:textId="77777777" w:rsidR="00D77923" w:rsidRPr="006D427B" w:rsidRDefault="00D77923" w:rsidP="00D77923">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033C0BC2" w14:textId="77777777" w:rsidR="00D77923" w:rsidRPr="006D427B" w:rsidRDefault="00D77923" w:rsidP="00D77923">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319BBBD0" w14:textId="77777777" w:rsidR="00D77923" w:rsidRPr="006D427B" w:rsidRDefault="00D77923" w:rsidP="00D77923">
            <w:pPr>
              <w:pStyle w:val="Tabletext"/>
              <w:spacing w:before="80" w:after="80"/>
              <w:rPr>
                <w:rFonts w:ascii="Söhne" w:hAnsi="Söhne"/>
                <w:sz w:val="16"/>
                <w:szCs w:val="16"/>
              </w:rPr>
            </w:pPr>
          </w:p>
        </w:tc>
        <w:tc>
          <w:tcPr>
            <w:tcW w:w="1134" w:type="dxa"/>
            <w:vAlign w:val="center"/>
          </w:tcPr>
          <w:p w14:paraId="3E80E618" w14:textId="5A5DFC38"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w:t>
            </w:r>
          </w:p>
        </w:tc>
        <w:tc>
          <w:tcPr>
            <w:tcW w:w="1134" w:type="dxa"/>
            <w:vAlign w:val="center"/>
          </w:tcPr>
          <w:p w14:paraId="7207F4CB" w14:textId="62A1D26C"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w:t>
            </w:r>
          </w:p>
        </w:tc>
        <w:tc>
          <w:tcPr>
            <w:tcW w:w="850" w:type="dxa"/>
            <w:vAlign w:val="center"/>
          </w:tcPr>
          <w:p w14:paraId="3646F3ED" w14:textId="75127084"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w:t>
            </w:r>
          </w:p>
        </w:tc>
        <w:tc>
          <w:tcPr>
            <w:tcW w:w="709" w:type="dxa"/>
            <w:vAlign w:val="center"/>
          </w:tcPr>
          <w:p w14:paraId="5B089F64" w14:textId="5F737EBF"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1</w:t>
            </w:r>
          </w:p>
        </w:tc>
      </w:tr>
      <w:tr w:rsidR="00EC5175" w:rsidRPr="006D427B" w14:paraId="37A77DEE" w14:textId="77777777" w:rsidTr="003E5EE5">
        <w:trPr>
          <w:trHeight w:val="402"/>
          <w:jc w:val="center"/>
        </w:trPr>
        <w:tc>
          <w:tcPr>
            <w:tcW w:w="2399" w:type="dxa"/>
            <w:vAlign w:val="center"/>
          </w:tcPr>
          <w:p w14:paraId="1018A168" w14:textId="77777777" w:rsidR="00EC5175" w:rsidRPr="006D427B" w:rsidRDefault="00EC5175" w:rsidP="00EC5175">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i/>
                <w:iCs/>
                <w:sz w:val="16"/>
                <w:szCs w:val="16"/>
              </w:rPr>
              <w:t>In-situ</w:t>
            </w:r>
            <w:r w:rsidRPr="006D427B">
              <w:rPr>
                <w:rFonts w:ascii="Söhne Kräftig" w:hAnsi="Söhne Kräftig" w:cs="Arial"/>
                <w:b w:val="0"/>
                <w:bCs w:val="0"/>
                <w:sz w:val="16"/>
                <w:szCs w:val="16"/>
              </w:rPr>
              <w:t xml:space="preserve"> hybridisation</w:t>
            </w:r>
          </w:p>
        </w:tc>
        <w:tc>
          <w:tcPr>
            <w:tcW w:w="1140" w:type="dxa"/>
            <w:tcBorders>
              <w:bottom w:val="nil"/>
            </w:tcBorders>
            <w:shd w:val="clear" w:color="auto" w:fill="D9D9D9" w:themeFill="background1" w:themeFillShade="D9"/>
            <w:vAlign w:val="center"/>
          </w:tcPr>
          <w:p w14:paraId="1BF4C55C" w14:textId="77777777" w:rsidR="00EC5175" w:rsidRPr="006D427B" w:rsidRDefault="00EC5175" w:rsidP="00EC5175">
            <w:pPr>
              <w:pStyle w:val="TableHead"/>
              <w:spacing w:before="80" w:after="80"/>
              <w:rPr>
                <w:rFonts w:ascii="Söhne" w:hAnsi="Söhne" w:cs="Arial"/>
                <w:sz w:val="16"/>
                <w:szCs w:val="16"/>
              </w:rPr>
            </w:pPr>
          </w:p>
        </w:tc>
        <w:tc>
          <w:tcPr>
            <w:tcW w:w="1134" w:type="dxa"/>
            <w:tcBorders>
              <w:bottom w:val="nil"/>
            </w:tcBorders>
            <w:shd w:val="clear" w:color="auto" w:fill="D9D9D9" w:themeFill="background1" w:themeFillShade="D9"/>
            <w:vAlign w:val="center"/>
          </w:tcPr>
          <w:p w14:paraId="18442534" w14:textId="77777777" w:rsidR="00EC5175" w:rsidRPr="006D427B" w:rsidRDefault="00EC5175" w:rsidP="00EC5175">
            <w:pPr>
              <w:pStyle w:val="TableHead"/>
              <w:spacing w:before="80" w:after="80"/>
              <w:rPr>
                <w:rFonts w:ascii="Söhne" w:hAnsi="Söhne" w:cs="Arial"/>
                <w:sz w:val="16"/>
                <w:szCs w:val="16"/>
              </w:rPr>
            </w:pPr>
          </w:p>
        </w:tc>
        <w:tc>
          <w:tcPr>
            <w:tcW w:w="851" w:type="dxa"/>
            <w:tcBorders>
              <w:bottom w:val="nil"/>
            </w:tcBorders>
            <w:shd w:val="clear" w:color="auto" w:fill="D9D9D9" w:themeFill="background1" w:themeFillShade="D9"/>
            <w:vAlign w:val="center"/>
          </w:tcPr>
          <w:p w14:paraId="0953FA03" w14:textId="77777777" w:rsidR="00EC5175" w:rsidRPr="006D427B" w:rsidRDefault="00EC5175" w:rsidP="00EC5175">
            <w:pPr>
              <w:pStyle w:val="TableHead"/>
              <w:spacing w:before="80" w:after="80"/>
              <w:rPr>
                <w:rFonts w:ascii="Söhne" w:hAnsi="Söhne" w:cs="Arial"/>
                <w:sz w:val="16"/>
                <w:szCs w:val="16"/>
              </w:rPr>
            </w:pPr>
          </w:p>
        </w:tc>
        <w:tc>
          <w:tcPr>
            <w:tcW w:w="708" w:type="dxa"/>
            <w:tcBorders>
              <w:bottom w:val="nil"/>
            </w:tcBorders>
            <w:shd w:val="clear" w:color="auto" w:fill="D9D9D9" w:themeFill="background1" w:themeFillShade="D9"/>
            <w:vAlign w:val="center"/>
          </w:tcPr>
          <w:p w14:paraId="75AAE874" w14:textId="77777777" w:rsidR="00EC5175" w:rsidRPr="006D427B" w:rsidRDefault="00EC5175" w:rsidP="00EC5175">
            <w:pPr>
              <w:pStyle w:val="TableHead"/>
              <w:spacing w:before="80" w:after="80"/>
              <w:rPr>
                <w:rFonts w:ascii="Söhne" w:hAnsi="Söhne" w:cs="Arial"/>
                <w:sz w:val="16"/>
                <w:szCs w:val="16"/>
              </w:rPr>
            </w:pPr>
          </w:p>
        </w:tc>
        <w:tc>
          <w:tcPr>
            <w:tcW w:w="1134" w:type="dxa"/>
            <w:shd w:val="clear" w:color="auto" w:fill="auto"/>
            <w:vAlign w:val="center"/>
          </w:tcPr>
          <w:p w14:paraId="38A4A027" w14:textId="15D4ACA1"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1134" w:type="dxa"/>
            <w:shd w:val="clear" w:color="auto" w:fill="auto"/>
            <w:vAlign w:val="center"/>
          </w:tcPr>
          <w:p w14:paraId="1EA0D54E" w14:textId="1AEF4939"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851" w:type="dxa"/>
            <w:shd w:val="clear" w:color="auto" w:fill="auto"/>
            <w:vAlign w:val="center"/>
          </w:tcPr>
          <w:p w14:paraId="1B23E2B6" w14:textId="68D8D40A"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709" w:type="dxa"/>
            <w:shd w:val="clear" w:color="auto" w:fill="auto"/>
            <w:vAlign w:val="center"/>
          </w:tcPr>
          <w:p w14:paraId="4ABD1DA2" w14:textId="614B76A5"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1</w:t>
            </w:r>
          </w:p>
        </w:tc>
        <w:tc>
          <w:tcPr>
            <w:tcW w:w="1134" w:type="dxa"/>
            <w:vAlign w:val="center"/>
          </w:tcPr>
          <w:p w14:paraId="5426AE8F" w14:textId="39929ADD"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1134" w:type="dxa"/>
            <w:vAlign w:val="center"/>
          </w:tcPr>
          <w:p w14:paraId="6B039490" w14:textId="3A84615D"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850" w:type="dxa"/>
            <w:vAlign w:val="center"/>
          </w:tcPr>
          <w:p w14:paraId="036758BE" w14:textId="03980820"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709" w:type="dxa"/>
            <w:vAlign w:val="center"/>
          </w:tcPr>
          <w:p w14:paraId="2EC43163" w14:textId="556A7FF9"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1</w:t>
            </w:r>
          </w:p>
        </w:tc>
      </w:tr>
      <w:tr w:rsidR="00437CE1" w:rsidRPr="006D427B" w14:paraId="1668D389" w14:textId="77777777" w:rsidTr="003E5EE5">
        <w:trPr>
          <w:trHeight w:val="402"/>
          <w:jc w:val="center"/>
        </w:trPr>
        <w:tc>
          <w:tcPr>
            <w:tcW w:w="2399" w:type="dxa"/>
            <w:vAlign w:val="center"/>
          </w:tcPr>
          <w:p w14:paraId="17766433" w14:textId="72EC19C7"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Bioassay</w:t>
            </w:r>
          </w:p>
        </w:tc>
        <w:tc>
          <w:tcPr>
            <w:tcW w:w="1140" w:type="dxa"/>
            <w:tcBorders>
              <w:top w:val="nil"/>
            </w:tcBorders>
            <w:shd w:val="clear" w:color="auto" w:fill="D9D9D9" w:themeFill="background1" w:themeFillShade="D9"/>
            <w:vAlign w:val="center"/>
          </w:tcPr>
          <w:p w14:paraId="33EEA423" w14:textId="77777777" w:rsidR="00D62958" w:rsidRPr="006D427B" w:rsidRDefault="00D62958" w:rsidP="00D62958">
            <w:pPr>
              <w:pStyle w:val="TableHead"/>
              <w:spacing w:before="80" w:after="80"/>
              <w:rPr>
                <w:rFonts w:ascii="Söhne" w:hAnsi="Söhne" w:cs="Arial"/>
                <w:sz w:val="16"/>
                <w:szCs w:val="16"/>
              </w:rPr>
            </w:pPr>
          </w:p>
        </w:tc>
        <w:tc>
          <w:tcPr>
            <w:tcW w:w="1134" w:type="dxa"/>
            <w:tcBorders>
              <w:top w:val="nil"/>
            </w:tcBorders>
            <w:shd w:val="clear" w:color="auto" w:fill="D9D9D9" w:themeFill="background1" w:themeFillShade="D9"/>
            <w:vAlign w:val="center"/>
          </w:tcPr>
          <w:p w14:paraId="651BA19D" w14:textId="77777777" w:rsidR="00D62958" w:rsidRPr="006D427B" w:rsidRDefault="00D62958" w:rsidP="00D62958">
            <w:pPr>
              <w:pStyle w:val="TableHead"/>
              <w:spacing w:before="80" w:after="80"/>
              <w:rPr>
                <w:rFonts w:ascii="Söhne" w:hAnsi="Söhne" w:cs="Arial"/>
                <w:sz w:val="16"/>
                <w:szCs w:val="16"/>
              </w:rPr>
            </w:pPr>
          </w:p>
        </w:tc>
        <w:tc>
          <w:tcPr>
            <w:tcW w:w="851" w:type="dxa"/>
            <w:tcBorders>
              <w:top w:val="nil"/>
            </w:tcBorders>
            <w:shd w:val="clear" w:color="auto" w:fill="D9D9D9" w:themeFill="background1" w:themeFillShade="D9"/>
            <w:vAlign w:val="center"/>
          </w:tcPr>
          <w:p w14:paraId="7013E823" w14:textId="77777777" w:rsidR="00D62958" w:rsidRPr="006D427B" w:rsidRDefault="00D62958" w:rsidP="00D62958">
            <w:pPr>
              <w:pStyle w:val="TableHead"/>
              <w:spacing w:before="80" w:after="80"/>
              <w:rPr>
                <w:rFonts w:ascii="Söhne" w:hAnsi="Söhne" w:cs="Arial"/>
                <w:sz w:val="16"/>
                <w:szCs w:val="16"/>
              </w:rPr>
            </w:pPr>
          </w:p>
        </w:tc>
        <w:tc>
          <w:tcPr>
            <w:tcW w:w="708" w:type="dxa"/>
            <w:tcBorders>
              <w:top w:val="nil"/>
            </w:tcBorders>
            <w:shd w:val="clear" w:color="auto" w:fill="D9D9D9" w:themeFill="background1" w:themeFillShade="D9"/>
            <w:vAlign w:val="center"/>
          </w:tcPr>
          <w:p w14:paraId="46BD7A54"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6E0ACCD8"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2F615CA0"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452B3E2A"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26FCBB82"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48B2336E"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776BEE8E"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02ABB780"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10AB4AFF"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6754C67F" w14:textId="77777777" w:rsidTr="2092E50D">
        <w:trPr>
          <w:trHeight w:val="402"/>
          <w:jc w:val="center"/>
        </w:trPr>
        <w:tc>
          <w:tcPr>
            <w:tcW w:w="2399" w:type="dxa"/>
            <w:vAlign w:val="center"/>
          </w:tcPr>
          <w:p w14:paraId="319D85CB" w14:textId="66A5E518"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LAMP</w:t>
            </w:r>
          </w:p>
        </w:tc>
        <w:tc>
          <w:tcPr>
            <w:tcW w:w="1140" w:type="dxa"/>
            <w:shd w:val="clear" w:color="auto" w:fill="D9D9D9" w:themeFill="background1" w:themeFillShade="D9"/>
            <w:vAlign w:val="center"/>
          </w:tcPr>
          <w:p w14:paraId="03227B04"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5CD5F9C1"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17DB4EE3"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536E28EA"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442479A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465C54BC"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5F2B924D"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2598844B"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717EF6F"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C496C63"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47CFDD7E"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0C710836"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0679887C" w14:textId="77777777" w:rsidTr="2092E50D">
        <w:trPr>
          <w:trHeight w:val="402"/>
          <w:jc w:val="center"/>
        </w:trPr>
        <w:tc>
          <w:tcPr>
            <w:tcW w:w="2399" w:type="dxa"/>
            <w:vAlign w:val="center"/>
          </w:tcPr>
          <w:p w14:paraId="4A0CFA7D" w14:textId="0552C907"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Ab-ELISA</w:t>
            </w:r>
          </w:p>
        </w:tc>
        <w:tc>
          <w:tcPr>
            <w:tcW w:w="1140" w:type="dxa"/>
            <w:shd w:val="clear" w:color="auto" w:fill="D9D9D9" w:themeFill="background1" w:themeFillShade="D9"/>
            <w:vAlign w:val="center"/>
          </w:tcPr>
          <w:p w14:paraId="6EF26C91"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653BEABD"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46A93C70"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65805E1E"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08A77F0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CC169D1"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43053FD5"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B6E9E1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DB42F7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248E219B"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7BABF951"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0F88999B"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25A87998" w14:textId="77777777" w:rsidTr="2092E50D">
        <w:trPr>
          <w:trHeight w:val="402"/>
          <w:jc w:val="center"/>
        </w:trPr>
        <w:tc>
          <w:tcPr>
            <w:tcW w:w="2399" w:type="dxa"/>
            <w:vAlign w:val="center"/>
          </w:tcPr>
          <w:p w14:paraId="5CA34AC0" w14:textId="53F6B5F5"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Ag-ELISA</w:t>
            </w:r>
          </w:p>
        </w:tc>
        <w:tc>
          <w:tcPr>
            <w:tcW w:w="1140" w:type="dxa"/>
            <w:shd w:val="clear" w:color="auto" w:fill="D9D9D9" w:themeFill="background1" w:themeFillShade="D9"/>
            <w:vAlign w:val="center"/>
          </w:tcPr>
          <w:p w14:paraId="7F779238"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293172D2"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690E9B28"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70634890"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2BE39FE5"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5679D71A"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1B3DE228"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019C69D"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7E543B5"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1636C51"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3E3F390A"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1A7C17C4"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4BF0840A" w14:textId="77777777" w:rsidTr="2092E50D">
        <w:trPr>
          <w:trHeight w:val="402"/>
          <w:jc w:val="center"/>
        </w:trPr>
        <w:tc>
          <w:tcPr>
            <w:tcW w:w="2399" w:type="dxa"/>
            <w:vAlign w:val="center"/>
          </w:tcPr>
          <w:p w14:paraId="7DF37988" w14:textId="3AAF5C7C"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Other antigen detection methods</w:t>
            </w:r>
            <w:r w:rsidRPr="006D427B">
              <w:rPr>
                <w:rFonts w:ascii="Söhne Kräftig" w:hAnsi="Söhne Kräftig" w:cs="Arial"/>
                <w:b w:val="0"/>
                <w:bCs w:val="0"/>
                <w:sz w:val="16"/>
                <w:szCs w:val="16"/>
                <w:vertAlign w:val="superscript"/>
                <w:lang w:val="en-US"/>
              </w:rPr>
              <w:t>3</w:t>
            </w:r>
          </w:p>
        </w:tc>
        <w:tc>
          <w:tcPr>
            <w:tcW w:w="1140" w:type="dxa"/>
            <w:shd w:val="clear" w:color="auto" w:fill="D9D9D9" w:themeFill="background1" w:themeFillShade="D9"/>
            <w:vAlign w:val="center"/>
          </w:tcPr>
          <w:p w14:paraId="008A6513"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58543762"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31DD8E42"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1BA74F3F"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C97F27C"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C3E6DA3"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32010A51"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6CF581E4"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2184F813"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052DA847"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439D682F"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08B2BC5A"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0A3F0792" w14:textId="77777777" w:rsidTr="2092E50D">
        <w:trPr>
          <w:trHeight w:val="402"/>
          <w:jc w:val="center"/>
        </w:trPr>
        <w:tc>
          <w:tcPr>
            <w:tcW w:w="2399" w:type="dxa"/>
            <w:vAlign w:val="center"/>
          </w:tcPr>
          <w:p w14:paraId="4066DD96" w14:textId="747BCAC6"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Other methods</w:t>
            </w:r>
            <w:r w:rsidRPr="006D427B">
              <w:rPr>
                <w:rFonts w:ascii="Söhne Kräftig" w:hAnsi="Söhne Kräftig" w:cs="Arial"/>
                <w:b w:val="0"/>
                <w:bCs w:val="0"/>
                <w:sz w:val="16"/>
                <w:szCs w:val="16"/>
                <w:vertAlign w:val="superscript"/>
                <w:lang w:val="en-US"/>
              </w:rPr>
              <w:t>3</w:t>
            </w:r>
          </w:p>
        </w:tc>
        <w:tc>
          <w:tcPr>
            <w:tcW w:w="1140" w:type="dxa"/>
            <w:shd w:val="clear" w:color="auto" w:fill="D9D9D9" w:themeFill="background1" w:themeFillShade="D9"/>
            <w:vAlign w:val="center"/>
          </w:tcPr>
          <w:p w14:paraId="454FA68C"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1BB527A5"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0FBEB62B"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225F3F34"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3B086E7B"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4D832E30"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3C8FC88C"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730D65EB"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40BD803"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356ADDCE"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5FCC0532"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0F03571" w14:textId="77777777" w:rsidR="00D62958" w:rsidRPr="006D427B" w:rsidRDefault="00D62958" w:rsidP="00D62958">
            <w:pPr>
              <w:pStyle w:val="Tabletext"/>
              <w:spacing w:before="80" w:after="80"/>
              <w:rPr>
                <w:rFonts w:ascii="Söhne" w:hAnsi="Söhne"/>
                <w:bCs w:val="0"/>
                <w:sz w:val="16"/>
                <w:szCs w:val="16"/>
              </w:rPr>
            </w:pPr>
          </w:p>
        </w:tc>
      </w:tr>
    </w:tbl>
    <w:bookmarkEnd w:id="12"/>
    <w:p w14:paraId="1A34AE4C" w14:textId="3A0E8039" w:rsidR="00B854E8" w:rsidRPr="006D427B" w:rsidRDefault="00B854E8" w:rsidP="00B854E8">
      <w:pPr>
        <w:pStyle w:val="paraA"/>
        <w:spacing w:before="120" w:after="0"/>
        <w:jc w:val="center"/>
        <w:rPr>
          <w:szCs w:val="22"/>
          <w:lang w:val="en-IE" w:eastAsia="en-US" w:bidi="en-US"/>
        </w:rPr>
      </w:pPr>
      <w:r w:rsidRPr="006D427B">
        <w:rPr>
          <w:sz w:val="16"/>
          <w:szCs w:val="16"/>
        </w:rPr>
        <w:t xml:space="preserve">LV = level of validation, refers to the stage of validation in the </w:t>
      </w:r>
      <w:r w:rsidR="009030A4" w:rsidRPr="006D427B">
        <w:rPr>
          <w:sz w:val="16"/>
          <w:szCs w:val="16"/>
        </w:rPr>
        <w:t>WOAH</w:t>
      </w:r>
      <w:r w:rsidRPr="006D427B">
        <w:rPr>
          <w:sz w:val="16"/>
          <w:szCs w:val="16"/>
        </w:rPr>
        <w:t xml:space="preserve"> Pathway (chapter 1.1.2)</w:t>
      </w:r>
      <w:r w:rsidRPr="006D427B">
        <w:rPr>
          <w:sz w:val="16"/>
          <w:szCs w:val="16"/>
          <w:lang w:val="en-US" w:eastAsia="en-US" w:bidi="en-US"/>
        </w:rPr>
        <w:t xml:space="preserve">; </w:t>
      </w:r>
      <w:r w:rsidRPr="006D427B">
        <w:rPr>
          <w:sz w:val="16"/>
          <w:szCs w:val="16"/>
        </w:rPr>
        <w:t xml:space="preserve">PCR = polymerase chain reaction; </w:t>
      </w:r>
      <w:bookmarkStart w:id="13" w:name="_Hlk80109939"/>
      <w:bookmarkStart w:id="14" w:name="_Hlk24967748"/>
      <w:r w:rsidRPr="006D427B">
        <w:rPr>
          <w:sz w:val="16"/>
          <w:szCs w:val="16"/>
          <w:lang w:val="en-IE" w:bidi="en-US"/>
        </w:rPr>
        <w:t xml:space="preserve">LAMP = loop-mediated isothermal amplification; </w:t>
      </w:r>
      <w:bookmarkEnd w:id="13"/>
      <w:r w:rsidRPr="006D427B">
        <w:rPr>
          <w:sz w:val="16"/>
          <w:szCs w:val="16"/>
          <w:lang w:val="en-IE" w:bidi="en-US"/>
        </w:rPr>
        <w:br/>
      </w:r>
      <w:r w:rsidRPr="006D427B">
        <w:rPr>
          <w:sz w:val="16"/>
          <w:szCs w:val="16"/>
          <w:lang w:val="en-IE"/>
        </w:rPr>
        <w:t xml:space="preserve">Ab- or Ag-ELISA = antibody or antigen enzyme-linked immunosorbent assay, respectively; </w:t>
      </w:r>
      <w:r w:rsidRPr="006D427B">
        <w:rPr>
          <w:rFonts w:eastAsia="Calibri"/>
          <w:sz w:val="16"/>
          <w:szCs w:val="16"/>
          <w:lang w:val="en-IE"/>
        </w:rPr>
        <w:t xml:space="preserve">IFAT = </w:t>
      </w:r>
      <w:r w:rsidRPr="006D427B">
        <w:rPr>
          <w:sz w:val="16"/>
          <w:szCs w:val="16"/>
          <w:lang w:val="en-IE"/>
        </w:rPr>
        <w:t>indirect fluorescent antibody test</w:t>
      </w:r>
      <w:r w:rsidRPr="006D427B">
        <w:rPr>
          <w:sz w:val="16"/>
          <w:szCs w:val="16"/>
        </w:rPr>
        <w:t xml:space="preserve">. </w:t>
      </w:r>
      <w:r w:rsidRPr="006D427B">
        <w:rPr>
          <w:sz w:val="16"/>
          <w:szCs w:val="16"/>
          <w:lang w:val="en-IE"/>
        </w:rPr>
        <w:t>[</w:t>
      </w:r>
      <w:bookmarkEnd w:id="14"/>
      <w:r w:rsidRPr="006D427B">
        <w:rPr>
          <w:sz w:val="16"/>
          <w:szCs w:val="16"/>
          <w:lang w:val="en-IE"/>
        </w:rPr>
        <w:t xml:space="preserve">give definitions of abbreviations as appropriate; </w:t>
      </w:r>
      <w:proofErr w:type="spellStart"/>
      <w:r w:rsidRPr="006D427B">
        <w:rPr>
          <w:sz w:val="16"/>
          <w:szCs w:val="16"/>
          <w:lang w:val="en-IE"/>
        </w:rPr>
        <w:t>nPCR</w:t>
      </w:r>
      <w:proofErr w:type="spellEnd"/>
      <w:r w:rsidRPr="006D427B">
        <w:rPr>
          <w:sz w:val="16"/>
          <w:szCs w:val="16"/>
          <w:lang w:val="en-IE"/>
        </w:rPr>
        <w:t xml:space="preserve"> = nested PCR, etc. NB “RT-PCR” is reserved for reverse-transcription polymerase chain reaction methods. “real-time PCR” should always be stated in full and refers to probe-based and SYBR green assays] </w:t>
      </w:r>
      <w:r w:rsidRPr="006D427B">
        <w:rPr>
          <w:sz w:val="16"/>
          <w:szCs w:val="16"/>
          <w:lang w:val="en-IE" w:bidi="en-US"/>
        </w:rPr>
        <w:br/>
      </w:r>
      <w:r w:rsidRPr="006D427B">
        <w:rPr>
          <w:sz w:val="16"/>
          <w:szCs w:val="16"/>
          <w:vertAlign w:val="superscript"/>
          <w:lang w:val="en-IE" w:bidi="en-US"/>
        </w:rPr>
        <w:t>1</w:t>
      </w:r>
      <w:r w:rsidRPr="006D427B">
        <w:rPr>
          <w:sz w:val="16"/>
          <w:szCs w:val="16"/>
          <w:lang w:val="en-IE"/>
        </w:rPr>
        <w:t xml:space="preserve">For confirmatory diagnoses, methods need to be carried out in combination (see Section 6). </w:t>
      </w:r>
      <w:bookmarkStart w:id="15" w:name="_Hlk88570705"/>
      <w:r w:rsidRPr="006D427B">
        <w:rPr>
          <w:sz w:val="16"/>
          <w:szCs w:val="16"/>
          <w:vertAlign w:val="superscript"/>
          <w:lang w:val="en-IE" w:bidi="en-US"/>
        </w:rPr>
        <w:t>2</w:t>
      </w:r>
      <w:r w:rsidRPr="006D427B">
        <w:rPr>
          <w:sz w:val="16"/>
          <w:szCs w:val="16"/>
          <w:lang w:val="en-IE"/>
        </w:rPr>
        <w:t>Susceptibility of early and juvenile life stages is described in Section 2.2.3.</w:t>
      </w:r>
      <w:bookmarkEnd w:id="15"/>
      <w:r w:rsidRPr="006D427B">
        <w:rPr>
          <w:sz w:val="16"/>
          <w:szCs w:val="16"/>
          <w:lang w:val="en-IE"/>
        </w:rPr>
        <w:t xml:space="preserve"> </w:t>
      </w:r>
      <w:r w:rsidRPr="006D427B">
        <w:rPr>
          <w:sz w:val="16"/>
          <w:szCs w:val="16"/>
          <w:lang w:val="en-IE"/>
        </w:rPr>
        <w:br/>
      </w:r>
      <w:r w:rsidR="00D43E8A" w:rsidRPr="006D427B">
        <w:rPr>
          <w:sz w:val="16"/>
          <w:szCs w:val="16"/>
          <w:vertAlign w:val="superscript"/>
          <w:lang w:val="en-IE"/>
        </w:rPr>
        <w:t>3</w:t>
      </w:r>
      <w:r w:rsidR="00D43E8A" w:rsidRPr="006D427B">
        <w:rPr>
          <w:sz w:val="16"/>
          <w:szCs w:val="16"/>
          <w:lang w:val="en-IE"/>
        </w:rPr>
        <w:t xml:space="preserve">Specify the test used. </w:t>
      </w:r>
      <w:r w:rsidRPr="006D427B">
        <w:rPr>
          <w:sz w:val="16"/>
          <w:szCs w:val="16"/>
          <w:lang w:val="en-IE"/>
        </w:rPr>
        <w:t>Shading indicates the test is inappropriate or should not be used for this purpose.</w:t>
      </w:r>
    </w:p>
    <w:bookmarkEnd w:id="11"/>
    <w:p w14:paraId="14D09AA3" w14:textId="77777777" w:rsidR="00BC4790" w:rsidRPr="006D427B" w:rsidRDefault="00BC4790" w:rsidP="00ED0F29">
      <w:pPr>
        <w:pStyle w:val="Para1"/>
        <w:rPr>
          <w:rFonts w:cs="Arial"/>
        </w:rPr>
        <w:sectPr w:rsidR="00BC4790" w:rsidRPr="006D427B" w:rsidSect="00B854E8">
          <w:headerReference w:type="first" r:id="rId18"/>
          <w:footerReference w:type="first" r:id="rId19"/>
          <w:pgSz w:w="16838" w:h="11906" w:orient="landscape" w:code="9"/>
          <w:pgMar w:top="1418" w:right="1418" w:bottom="1418" w:left="1418" w:header="709" w:footer="709" w:gutter="0"/>
          <w:cols w:space="708"/>
          <w:titlePg/>
          <w:docGrid w:linePitch="360"/>
        </w:sectPr>
      </w:pPr>
    </w:p>
    <w:p w14:paraId="1759A60F" w14:textId="77777777" w:rsidR="00BC4790" w:rsidRPr="006D427B" w:rsidRDefault="00BC4790" w:rsidP="00BC4790">
      <w:pPr>
        <w:pStyle w:val="110"/>
      </w:pPr>
      <w:bookmarkStart w:id="16" w:name="_Hlk34053644"/>
      <w:r w:rsidRPr="006D427B">
        <w:lastRenderedPageBreak/>
        <w:t>4.1.</w:t>
      </w:r>
      <w:r w:rsidRPr="006D427B">
        <w:tab/>
        <w:t xml:space="preserve">Wet mounts </w:t>
      </w:r>
    </w:p>
    <w:p w14:paraId="0985CA82" w14:textId="77777777" w:rsidR="00047380" w:rsidRPr="006D427B" w:rsidRDefault="00047380" w:rsidP="00047380">
      <w:pPr>
        <w:pStyle w:val="Para2"/>
      </w:pPr>
      <w:r w:rsidRPr="006D427B">
        <w:t>Not applicable.</w:t>
      </w:r>
    </w:p>
    <w:p w14:paraId="06C65269" w14:textId="77777777" w:rsidR="00BC4790" w:rsidRPr="006D427B" w:rsidRDefault="00BC4790" w:rsidP="00BC4790">
      <w:pPr>
        <w:pStyle w:val="110"/>
      </w:pPr>
      <w:r w:rsidRPr="006D427B">
        <w:t>4.2.</w:t>
      </w:r>
      <w:r w:rsidRPr="006D427B">
        <w:tab/>
      </w:r>
      <w:bookmarkStart w:id="17" w:name="_Hlk83117273"/>
      <w:r w:rsidRPr="006D427B">
        <w:t>Histopathology and cytopathology</w:t>
      </w:r>
      <w:bookmarkEnd w:id="17"/>
    </w:p>
    <w:p w14:paraId="0154411E" w14:textId="67D45574" w:rsidR="00BC4790" w:rsidRPr="006D427B" w:rsidRDefault="00B51476" w:rsidP="00BC4790">
      <w:pPr>
        <w:pStyle w:val="Para2"/>
        <w:rPr>
          <w:lang w:eastAsia="fr-FR"/>
        </w:rPr>
      </w:pPr>
      <w:r w:rsidRPr="006D427B">
        <w:t>The presence of basophilic, o</w:t>
      </w:r>
      <w:r w:rsidR="005340DB" w:rsidRPr="006D427B">
        <w:t>void</w:t>
      </w:r>
      <w:r w:rsidRPr="006D427B">
        <w:t xml:space="preserve"> intracytoplasmic bacterial inclusions in digestive epithelia (posterior oesophagus, transport ducts and metaplastic epithelia of the digestive gland, and</w:t>
      </w:r>
      <w:r w:rsidR="005340DB" w:rsidRPr="006D427B">
        <w:t>/</w:t>
      </w:r>
      <w:r w:rsidRPr="006D427B">
        <w:t>or intestine</w:t>
      </w:r>
      <w:r w:rsidR="005340DB" w:rsidRPr="006D427B">
        <w:t>)</w:t>
      </w:r>
      <w:r w:rsidRPr="006D427B">
        <w:t xml:space="preserve">. Metaplastic changes in the digestive gland that include the transformation of the terminal </w:t>
      </w:r>
      <w:r w:rsidR="00B40AF0" w:rsidRPr="006D427B">
        <w:t>digestive tubules</w:t>
      </w:r>
      <w:r w:rsidRPr="006D427B">
        <w:t xml:space="preserve"> into absorptive/transport epithelia </w:t>
      </w:r>
      <w:r w:rsidR="0091201B" w:rsidRPr="006D427B">
        <w:t xml:space="preserve">occurs </w:t>
      </w:r>
      <w:r w:rsidRPr="006D427B">
        <w:t xml:space="preserve">in abalones infected with </w:t>
      </w:r>
      <w:r w:rsidRPr="006D427B">
        <w:rPr>
          <w:i/>
          <w:iCs/>
        </w:rPr>
        <w:t>X. californiensis</w:t>
      </w:r>
      <w:r w:rsidRPr="006D427B">
        <w:t xml:space="preserve"> (Balseiro </w:t>
      </w:r>
      <w:r w:rsidRPr="006D427B">
        <w:rPr>
          <w:i/>
          <w:iCs/>
        </w:rPr>
        <w:t>et al</w:t>
      </w:r>
      <w:r w:rsidRPr="006D427B">
        <w:t xml:space="preserve">., 2006; Braid </w:t>
      </w:r>
      <w:r w:rsidRPr="006D427B">
        <w:rPr>
          <w:i/>
          <w:iCs/>
        </w:rPr>
        <w:t>et al</w:t>
      </w:r>
      <w:r w:rsidRPr="006D427B">
        <w:t xml:space="preserve">., 2005; Friedman </w:t>
      </w:r>
      <w:r w:rsidRPr="006D427B">
        <w:rPr>
          <w:i/>
          <w:iCs/>
        </w:rPr>
        <w:t>et al</w:t>
      </w:r>
      <w:r w:rsidRPr="006D427B">
        <w:t xml:space="preserve">., 2002; Moore </w:t>
      </w:r>
      <w:r w:rsidRPr="006D427B">
        <w:rPr>
          <w:i/>
          <w:iCs/>
        </w:rPr>
        <w:t>et al</w:t>
      </w:r>
      <w:r w:rsidRPr="006D427B">
        <w:t xml:space="preserve">., 2000; </w:t>
      </w:r>
      <w:r w:rsidR="005A7BF5" w:rsidRPr="006D427B">
        <w:t>2001</w:t>
      </w:r>
      <w:r w:rsidRPr="006D427B">
        <w:t xml:space="preserve">). Although metaplasia has been observed in all affected species examined to date, the response to infection may vary between hosts. Red abalones and white abalones, for example, typically respond with a metaplastic change (Balseiro </w:t>
      </w:r>
      <w:r w:rsidRPr="006D427B">
        <w:rPr>
          <w:i/>
          <w:iCs/>
        </w:rPr>
        <w:t>et al</w:t>
      </w:r>
      <w:r w:rsidRPr="006D427B">
        <w:t xml:space="preserve">., 2006; Braid </w:t>
      </w:r>
      <w:r w:rsidRPr="006D427B">
        <w:rPr>
          <w:i/>
          <w:iCs/>
        </w:rPr>
        <w:t>et al</w:t>
      </w:r>
      <w:r w:rsidRPr="006D427B">
        <w:t xml:space="preserve">., 2005; Moore </w:t>
      </w:r>
      <w:r w:rsidRPr="006D427B">
        <w:rPr>
          <w:i/>
          <w:iCs/>
        </w:rPr>
        <w:t>et al</w:t>
      </w:r>
      <w:r w:rsidRPr="006D427B">
        <w:t xml:space="preserve">., 2000), while black abalones generally respond with a combination of metaplasia, digestive tubule degeneration and inflammation (Friedman </w:t>
      </w:r>
      <w:r w:rsidRPr="006D427B">
        <w:rPr>
          <w:i/>
          <w:iCs/>
        </w:rPr>
        <w:t>et al</w:t>
      </w:r>
      <w:r w:rsidRPr="006D427B">
        <w:t xml:space="preserve">., 1997; 2002). Affected individuals contain less pedal glycogen and fewer muscle bundles than do unaffected individuals (Balseiro </w:t>
      </w:r>
      <w:r w:rsidRPr="006D427B">
        <w:rPr>
          <w:i/>
          <w:iCs/>
        </w:rPr>
        <w:t>et al</w:t>
      </w:r>
      <w:r w:rsidRPr="006D427B">
        <w:t xml:space="preserve">., 2006; Braid </w:t>
      </w:r>
      <w:r w:rsidRPr="006D427B">
        <w:rPr>
          <w:i/>
          <w:iCs/>
        </w:rPr>
        <w:t>et al</w:t>
      </w:r>
      <w:r w:rsidRPr="006D427B">
        <w:t xml:space="preserve">., 2005; Gardner </w:t>
      </w:r>
      <w:r w:rsidRPr="006D427B">
        <w:rPr>
          <w:i/>
          <w:iCs/>
        </w:rPr>
        <w:t>et al</w:t>
      </w:r>
      <w:r w:rsidRPr="006D427B">
        <w:t xml:space="preserve">., 1995). In some abalones, an increase in </w:t>
      </w:r>
      <w:r w:rsidR="00E11F55" w:rsidRPr="006D427B">
        <w:t>s</w:t>
      </w:r>
      <w:r w:rsidRPr="006D427B">
        <w:t xml:space="preserve">erous cells may be observed in the foot muscle (Van Blaricom </w:t>
      </w:r>
      <w:r w:rsidRPr="006D427B">
        <w:rPr>
          <w:i/>
          <w:iCs/>
        </w:rPr>
        <w:t>et al</w:t>
      </w:r>
      <w:r w:rsidRPr="006D427B">
        <w:t xml:space="preserve">., 1993), but these signs are not pathognomonic for this disease. Juvenile white abalone may contain an apparently metaplastic </w:t>
      </w:r>
      <w:r w:rsidR="00606A67" w:rsidRPr="006D427B">
        <w:t>digestive</w:t>
      </w:r>
      <w:r w:rsidRPr="006D427B">
        <w:t xml:space="preserve"> without presence of </w:t>
      </w:r>
      <w:r w:rsidRPr="006D427B">
        <w:rPr>
          <w:i/>
          <w:iCs/>
        </w:rPr>
        <w:t>X. californiensis</w:t>
      </w:r>
      <w:r w:rsidRPr="006D427B">
        <w:t xml:space="preserve"> (Friedman </w:t>
      </w:r>
      <w:r w:rsidRPr="006D427B">
        <w:rPr>
          <w:i/>
          <w:iCs/>
        </w:rPr>
        <w:t>et al</w:t>
      </w:r>
      <w:r w:rsidRPr="006D427B">
        <w:t xml:space="preserve">., 2007). </w:t>
      </w:r>
      <w:r w:rsidR="005A7BF5" w:rsidRPr="006D427B">
        <w:t>Thus,</w:t>
      </w:r>
      <w:r w:rsidRPr="006D427B">
        <w:t xml:space="preserve"> </w:t>
      </w:r>
      <w:r w:rsidR="00C546D1" w:rsidRPr="006D427B">
        <w:t xml:space="preserve">the </w:t>
      </w:r>
      <w:r w:rsidRPr="006D427B">
        <w:t xml:space="preserve">presence of </w:t>
      </w:r>
      <w:r w:rsidRPr="006D427B">
        <w:rPr>
          <w:i/>
          <w:iCs/>
        </w:rPr>
        <w:t xml:space="preserve">X. californiensis </w:t>
      </w:r>
      <w:r w:rsidRPr="006D427B">
        <w:t>in digestive epithelia in conjunction with the morphological changes noted above indicate the presence of clinical withering syndrome.</w:t>
      </w:r>
    </w:p>
    <w:p w14:paraId="1852CD81" w14:textId="77777777" w:rsidR="00BC4790" w:rsidRPr="006D427B" w:rsidRDefault="00BC4790" w:rsidP="00BC4790">
      <w:pPr>
        <w:pStyle w:val="110"/>
      </w:pPr>
      <w:bookmarkStart w:id="18" w:name="_Hlk34054098"/>
      <w:bookmarkEnd w:id="16"/>
      <w:r w:rsidRPr="006D427B">
        <w:t>4.3.</w:t>
      </w:r>
      <w:r w:rsidRPr="006D427B">
        <w:tab/>
        <w:t>Cell culture for isolation</w:t>
      </w:r>
    </w:p>
    <w:p w14:paraId="3BA28AC8" w14:textId="07432AD7" w:rsidR="00BC4790" w:rsidRPr="006D427B" w:rsidRDefault="000C2DB8" w:rsidP="00BC4790">
      <w:pPr>
        <w:pStyle w:val="Para2"/>
      </w:pPr>
      <w:r w:rsidRPr="006D427B">
        <w:t>Not applicable.</w:t>
      </w:r>
    </w:p>
    <w:p w14:paraId="65B2F37B" w14:textId="77777777" w:rsidR="00BC4790" w:rsidRPr="006D427B" w:rsidRDefault="00BC4790" w:rsidP="00BC4790">
      <w:pPr>
        <w:pStyle w:val="110"/>
      </w:pPr>
      <w:r w:rsidRPr="006D427B">
        <w:t>4.4.</w:t>
      </w:r>
      <w:r w:rsidRPr="006D427B">
        <w:tab/>
        <w:t xml:space="preserve">Nucleic acid amplification </w:t>
      </w:r>
    </w:p>
    <w:bookmarkEnd w:id="18"/>
    <w:p w14:paraId="3276456B" w14:textId="146FCC60" w:rsidR="00E90656" w:rsidRPr="006D427B" w:rsidRDefault="00E90656" w:rsidP="00E90656">
      <w:pPr>
        <w:pStyle w:val="Para2"/>
      </w:pPr>
      <w:r w:rsidRPr="006D427B">
        <w:t xml:space="preserve">PCR assays should always be run with the controls specified in Section </w:t>
      </w:r>
      <w:r w:rsidR="00DA59F8" w:rsidRPr="006D427B">
        <w:t>B.5.5</w:t>
      </w:r>
      <w:r w:rsidRPr="006D427B">
        <w:t xml:space="preserve"> </w:t>
      </w:r>
      <w:r w:rsidRPr="006D427B">
        <w:rPr>
          <w:i/>
          <w:iCs/>
        </w:rPr>
        <w:t xml:space="preserve">Molecular methods </w:t>
      </w:r>
      <w:r w:rsidRPr="006D427B">
        <w:t xml:space="preserve">Chapter 2.4.0 </w:t>
      </w:r>
      <w:r w:rsidRPr="006D427B">
        <w:rPr>
          <w:i/>
          <w:iCs/>
        </w:rPr>
        <w:t>General information</w:t>
      </w:r>
      <w:r w:rsidRPr="006D427B">
        <w:t xml:space="preserve"> (diseases of molluscs). Each sample should be tested in duplicate. </w:t>
      </w:r>
    </w:p>
    <w:p w14:paraId="1DD00F52" w14:textId="0D2E5FE7" w:rsidR="00590C34" w:rsidRPr="006D427B" w:rsidRDefault="00590C34" w:rsidP="000D33E5">
      <w:pPr>
        <w:pStyle w:val="Para2"/>
        <w:rPr>
          <w:rFonts w:eastAsia="Calibri"/>
          <w:i/>
          <w:iCs/>
        </w:rPr>
      </w:pPr>
      <w:bookmarkStart w:id="19" w:name="_Hlk114491232"/>
      <w:r w:rsidRPr="006D427B">
        <w:rPr>
          <w:rFonts w:eastAsia="Calibri"/>
          <w:i/>
          <w:iCs/>
        </w:rPr>
        <w:t>Extraction of nucleic acids</w:t>
      </w:r>
    </w:p>
    <w:p w14:paraId="51E88C96" w14:textId="468EEBFE" w:rsidR="00590C34" w:rsidRPr="006D427B" w:rsidRDefault="00103104" w:rsidP="000D33E5">
      <w:pPr>
        <w:pStyle w:val="Para2"/>
        <w:rPr>
          <w:rFonts w:eastAsia="Calibri"/>
        </w:rPr>
      </w:pPr>
      <w:r w:rsidRPr="006D427B">
        <w:rPr>
          <w:rFonts w:eastAsia="Calibri"/>
        </w:rPr>
        <w:t xml:space="preserve">Different </w:t>
      </w:r>
      <w:r w:rsidR="00590C34" w:rsidRPr="006D427B">
        <w:rPr>
          <w:rFonts w:eastAsia="Calibri"/>
        </w:rPr>
        <w:t xml:space="preserve">kits and procedures can be used for nucleic acid extraction. The quality and concentration of the extracted nucleic acid </w:t>
      </w:r>
      <w:r w:rsidR="005C6D99" w:rsidRPr="006D427B">
        <w:rPr>
          <w:rFonts w:eastAsia="Calibri"/>
        </w:rPr>
        <w:t xml:space="preserve">is important and </w:t>
      </w:r>
      <w:r w:rsidRPr="006D427B">
        <w:rPr>
          <w:rFonts w:eastAsia="Calibri"/>
        </w:rPr>
        <w:t>can</w:t>
      </w:r>
      <w:r w:rsidR="00590C34" w:rsidRPr="006D427B">
        <w:rPr>
          <w:rFonts w:eastAsia="Calibri"/>
        </w:rPr>
        <w:t xml:space="preserve"> be checked using </w:t>
      </w:r>
      <w:bookmarkStart w:id="20" w:name="_Hlk127887220"/>
      <w:r w:rsidR="005C6D99" w:rsidRPr="006D427B">
        <w:rPr>
          <w:rFonts w:eastAsia="Calibri"/>
        </w:rPr>
        <w:t>a suitable method as appropriate to the circumstances</w:t>
      </w:r>
      <w:bookmarkEnd w:id="20"/>
      <w:r w:rsidR="00590C34" w:rsidRPr="006D427B">
        <w:rPr>
          <w:rFonts w:eastAsia="Calibri"/>
        </w:rPr>
        <w:t xml:space="preserve">. </w:t>
      </w:r>
    </w:p>
    <w:bookmarkEnd w:id="19"/>
    <w:p w14:paraId="4BCBE500" w14:textId="34D0C33A" w:rsidR="007C546D" w:rsidRPr="006D427B" w:rsidRDefault="00BC4790" w:rsidP="007128C9">
      <w:pPr>
        <w:pStyle w:val="1110"/>
        <w:rPr>
          <w:lang w:val="en-IE"/>
        </w:rPr>
      </w:pPr>
      <w:r w:rsidRPr="006D427B">
        <w:rPr>
          <w:lang w:val="en-IE"/>
        </w:rPr>
        <w:t>4.4.</w:t>
      </w:r>
      <w:r w:rsidR="000D33E5" w:rsidRPr="006D427B">
        <w:rPr>
          <w:lang w:val="en-IE"/>
        </w:rPr>
        <w:t>1</w:t>
      </w:r>
      <w:r w:rsidRPr="006D427B">
        <w:rPr>
          <w:lang w:val="en-IE"/>
        </w:rPr>
        <w:t>.</w:t>
      </w:r>
      <w:r w:rsidRPr="006D427B">
        <w:rPr>
          <w:lang w:val="en-IE"/>
        </w:rPr>
        <w:tab/>
        <w:t xml:space="preserve">Real-time PCR </w:t>
      </w:r>
    </w:p>
    <w:tbl>
      <w:tblPr>
        <w:tblStyle w:val="LightShading-Accent1"/>
        <w:tblW w:w="10348" w:type="dxa"/>
        <w:tblInd w:w="-714" w:type="dxa"/>
        <w:tblLayout w:type="fixed"/>
        <w:tblLook w:val="0660" w:firstRow="1" w:lastRow="1" w:firstColumn="0" w:lastColumn="0" w:noHBand="1" w:noVBand="1"/>
      </w:tblPr>
      <w:tblGrid>
        <w:gridCol w:w="1560"/>
        <w:gridCol w:w="5245"/>
        <w:gridCol w:w="1275"/>
        <w:gridCol w:w="2268"/>
      </w:tblGrid>
      <w:tr w:rsidR="00AC54E3" w:rsidRPr="006D427B" w14:paraId="35F764AC" w14:textId="77777777" w:rsidTr="004F72A0">
        <w:trPr>
          <w:cnfStyle w:val="100000000000" w:firstRow="1" w:lastRow="0" w:firstColumn="0" w:lastColumn="0" w:oddVBand="0" w:evenVBand="0" w:oddHBand="0" w:evenHBand="0" w:firstRowFirstColumn="0" w:firstRowLastColumn="0" w:lastRowFirstColumn="0" w:lastRowLastColumn="0"/>
          <w:trHeight w:val="236"/>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1D14E1" w14:textId="282300DA"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Pathogen/</w:t>
            </w:r>
            <w:r w:rsidRPr="006D427B">
              <w:rPr>
                <w:rFonts w:ascii="Söhne Kräftig" w:eastAsiaTheme="minorHAnsi" w:hAnsi="Söhne Kräftig"/>
                <w:b w:val="0"/>
                <w:color w:val="auto"/>
                <w:sz w:val="16"/>
                <w:szCs w:val="16"/>
                <w:lang w:val="en-IE" w:eastAsia="en-US"/>
              </w:rPr>
              <w:br/>
              <w:t>target gene</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B6DA73" w14:textId="77777777"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Primer/probe (5’–3’)</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E73809" w14:textId="77777777"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D64F8" w14:textId="6B8766AF" w:rsidR="007C546D" w:rsidRPr="006D427B" w:rsidRDefault="007C546D">
            <w:pPr>
              <w:spacing w:before="120" w:after="120"/>
              <w:jc w:val="center"/>
              <w:rPr>
                <w:rFonts w:ascii="Söhne Kräftig" w:hAnsi="Söhne Kräftig"/>
                <w:b w:val="0"/>
                <w:color w:val="auto"/>
                <w:sz w:val="16"/>
                <w:szCs w:val="16"/>
                <w:lang w:val="en-IE"/>
              </w:rPr>
            </w:pPr>
            <w:r w:rsidRPr="006D427B">
              <w:rPr>
                <w:rFonts w:ascii="Söhne Kräftig" w:hAnsi="Söhne Kräftig"/>
                <w:b w:val="0"/>
                <w:color w:val="auto"/>
                <w:sz w:val="16"/>
                <w:szCs w:val="16"/>
                <w:lang w:val="en-IE"/>
              </w:rPr>
              <w:t>Cycling parameters</w:t>
            </w:r>
          </w:p>
        </w:tc>
      </w:tr>
      <w:tr w:rsidR="00CF0AED" w:rsidRPr="00A41BA5" w14:paraId="52075BF0" w14:textId="77777777" w:rsidTr="003548AC">
        <w:trPr>
          <w:trHeight w:val="236"/>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DDE782" w14:textId="41429338" w:rsidR="007C546D" w:rsidRPr="006D427B" w:rsidRDefault="009E293C">
            <w:pPr>
              <w:spacing w:before="120" w:after="120"/>
              <w:jc w:val="center"/>
              <w:rPr>
                <w:color w:val="auto"/>
                <w:sz w:val="16"/>
                <w:szCs w:val="16"/>
                <w:lang w:val="en-IE"/>
              </w:rPr>
            </w:pPr>
            <w:r w:rsidRPr="006D427B">
              <w:rPr>
                <w:color w:val="auto"/>
                <w:sz w:val="16"/>
                <w:szCs w:val="16"/>
                <w:lang w:val="en-IE"/>
              </w:rPr>
              <w:t xml:space="preserve">Method 1: </w:t>
            </w:r>
            <w:r w:rsidR="004B0BCF" w:rsidRPr="006D427B">
              <w:rPr>
                <w:color w:val="auto"/>
                <w:sz w:val="16"/>
                <w:szCs w:val="16"/>
                <w:lang w:val="en-IE"/>
              </w:rPr>
              <w:t>Friedman</w:t>
            </w:r>
            <w:r w:rsidRPr="006D427B">
              <w:rPr>
                <w:color w:val="auto"/>
                <w:sz w:val="16"/>
                <w:szCs w:val="16"/>
                <w:lang w:val="en-IE"/>
              </w:rPr>
              <w:t xml:space="preserve"> </w:t>
            </w:r>
            <w:r w:rsidRPr="006D427B">
              <w:rPr>
                <w:i/>
                <w:iCs/>
                <w:color w:val="auto"/>
                <w:sz w:val="16"/>
                <w:szCs w:val="16"/>
                <w:lang w:val="en-IE"/>
              </w:rPr>
              <w:t>et al.,</w:t>
            </w:r>
            <w:r w:rsidRPr="006D427B">
              <w:rPr>
                <w:color w:val="auto"/>
                <w:sz w:val="16"/>
                <w:szCs w:val="16"/>
                <w:lang w:val="en-IE"/>
              </w:rPr>
              <w:t xml:space="preserve"> </w:t>
            </w:r>
            <w:r w:rsidR="004B0BCF" w:rsidRPr="006D427B">
              <w:rPr>
                <w:color w:val="auto"/>
                <w:sz w:val="16"/>
                <w:szCs w:val="16"/>
                <w:lang w:val="en-IE"/>
              </w:rPr>
              <w:t>2014</w:t>
            </w:r>
            <w:r w:rsidRPr="006D427B">
              <w:rPr>
                <w:color w:val="auto"/>
                <w:sz w:val="16"/>
                <w:szCs w:val="16"/>
                <w:lang w:val="en-IE"/>
              </w:rPr>
              <w:t xml:space="preserve">; </w:t>
            </w:r>
            <w:r w:rsidR="007C546D" w:rsidRPr="006D427B">
              <w:rPr>
                <w:color w:val="auto"/>
                <w:sz w:val="16"/>
                <w:szCs w:val="16"/>
                <w:lang w:val="en-IE"/>
              </w:rPr>
              <w:t>GenBank Accession No.</w:t>
            </w:r>
            <w:r w:rsidR="005C35B0" w:rsidRPr="006D427B">
              <w:rPr>
                <w:color w:val="auto"/>
                <w:sz w:val="16"/>
                <w:szCs w:val="16"/>
                <w:lang w:val="en-IE"/>
              </w:rPr>
              <w:t xml:space="preserve">: </w:t>
            </w:r>
            <w:r w:rsidR="0073318D" w:rsidRPr="006D427B">
              <w:rPr>
                <w:color w:val="auto"/>
                <w:sz w:val="16"/>
                <w:szCs w:val="16"/>
                <w:lang w:val="en-IE"/>
              </w:rPr>
              <w:t>AF133090, amplicon size: 147 bp</w:t>
            </w:r>
          </w:p>
        </w:tc>
      </w:tr>
      <w:tr w:rsidR="00CF0AED" w:rsidRPr="00A41BA5" w14:paraId="1576850A" w14:textId="77777777" w:rsidTr="004F72A0">
        <w:trPr>
          <w:cnfStyle w:val="010000000000" w:firstRow="0" w:lastRow="1" w:firstColumn="0" w:lastColumn="0" w:oddVBand="0" w:evenVBand="0" w:oddHBand="0" w:evenHBand="0" w:firstRowFirstColumn="0" w:firstRowLastColumn="0" w:lastRowFirstColumn="0" w:lastRowLastColumn="0"/>
          <w:trHeight w:val="482"/>
        </w:trPr>
        <w:tc>
          <w:tcPr>
            <w:tcW w:w="1560" w:type="dxa"/>
            <w:tcBorders>
              <w:top w:val="single" w:sz="4" w:space="0" w:color="auto"/>
              <w:left w:val="single" w:sz="4" w:space="0" w:color="auto"/>
              <w:bottom w:val="single" w:sz="4" w:space="0" w:color="auto"/>
              <w:right w:val="single" w:sz="4" w:space="0" w:color="auto"/>
            </w:tcBorders>
            <w:noWrap/>
            <w:vAlign w:val="center"/>
          </w:tcPr>
          <w:p w14:paraId="7F5EEDCF" w14:textId="3D064860" w:rsidR="007C546D" w:rsidRPr="006D427B" w:rsidRDefault="0072127C">
            <w:pPr>
              <w:spacing w:before="120" w:after="120"/>
              <w:jc w:val="center"/>
              <w:rPr>
                <w:rFonts w:eastAsiaTheme="minorHAnsi" w:cs="Arial"/>
                <w:b w:val="0"/>
                <w:bCs w:val="0"/>
                <w:color w:val="auto"/>
                <w:sz w:val="16"/>
                <w:szCs w:val="16"/>
                <w:lang w:val="en-IE" w:eastAsia="en-US"/>
              </w:rPr>
            </w:pPr>
            <w:r w:rsidRPr="006D427B">
              <w:rPr>
                <w:rFonts w:eastAsiaTheme="minorHAnsi" w:cs="Arial"/>
                <w:b w:val="0"/>
                <w:bCs w:val="0"/>
                <w:color w:val="auto"/>
                <w:sz w:val="16"/>
                <w:szCs w:val="16"/>
                <w:lang w:val="en-IE" w:eastAsia="en-US"/>
              </w:rPr>
              <w:t>16S rDNA</w:t>
            </w:r>
          </w:p>
        </w:tc>
        <w:tc>
          <w:tcPr>
            <w:tcW w:w="5245" w:type="dxa"/>
            <w:tcBorders>
              <w:top w:val="single" w:sz="4" w:space="0" w:color="auto"/>
              <w:left w:val="single" w:sz="4" w:space="0" w:color="auto"/>
              <w:bottom w:val="single" w:sz="4" w:space="0" w:color="auto"/>
              <w:right w:val="single" w:sz="4" w:space="0" w:color="auto"/>
            </w:tcBorders>
            <w:vAlign w:val="center"/>
          </w:tcPr>
          <w:p w14:paraId="77D6266A" w14:textId="1A5E123F" w:rsidR="007C546D" w:rsidRPr="006D427B" w:rsidRDefault="007C546D">
            <w:pPr>
              <w:spacing w:before="120" w:after="120"/>
              <w:jc w:val="center"/>
              <w:rPr>
                <w:rFonts w:eastAsiaTheme="minorHAnsi" w:cs="Arial"/>
                <w:b w:val="0"/>
                <w:bCs w:val="0"/>
                <w:color w:val="auto"/>
                <w:sz w:val="16"/>
                <w:szCs w:val="16"/>
                <w:lang w:val="en-IE" w:eastAsia="en-US"/>
              </w:rPr>
            </w:pPr>
            <w:proofErr w:type="spellStart"/>
            <w:r w:rsidRPr="006D427B">
              <w:rPr>
                <w:rFonts w:eastAsiaTheme="minorHAnsi" w:cs="Arial"/>
                <w:b w:val="0"/>
                <w:bCs w:val="0"/>
                <w:color w:val="auto"/>
                <w:sz w:val="16"/>
                <w:szCs w:val="16"/>
                <w:lang w:val="en-IE" w:eastAsia="en-US"/>
              </w:rPr>
              <w:t>Fwd</w:t>
            </w:r>
            <w:proofErr w:type="spellEnd"/>
            <w:r w:rsidRPr="006D427B">
              <w:rPr>
                <w:rFonts w:eastAsiaTheme="minorHAnsi" w:cs="Arial"/>
                <w:b w:val="0"/>
                <w:bCs w:val="0"/>
                <w:color w:val="auto"/>
                <w:sz w:val="16"/>
                <w:szCs w:val="16"/>
                <w:lang w:val="en-IE" w:eastAsia="en-US"/>
              </w:rPr>
              <w:t xml:space="preserve"> </w:t>
            </w:r>
            <w:r w:rsidR="00361837" w:rsidRPr="006D427B">
              <w:rPr>
                <w:rFonts w:eastAsiaTheme="minorHAnsi" w:cs="Arial"/>
                <w:b w:val="0"/>
                <w:bCs w:val="0"/>
                <w:color w:val="auto"/>
                <w:sz w:val="16"/>
                <w:szCs w:val="16"/>
                <w:lang w:val="en-IE" w:eastAsia="en-US"/>
              </w:rPr>
              <w:t>WSN1 F</w:t>
            </w:r>
            <w:r w:rsidRPr="006D427B">
              <w:rPr>
                <w:rFonts w:eastAsiaTheme="minorHAnsi" w:cs="Arial"/>
                <w:b w:val="0"/>
                <w:bCs w:val="0"/>
                <w:color w:val="auto"/>
                <w:sz w:val="16"/>
                <w:szCs w:val="16"/>
                <w:lang w:val="en-IE" w:eastAsia="en-US"/>
              </w:rPr>
              <w:t xml:space="preserve">: </w:t>
            </w:r>
            <w:r w:rsidR="00733918" w:rsidRPr="006D427B">
              <w:rPr>
                <w:rFonts w:eastAsiaTheme="minorHAnsi" w:cs="Arial"/>
                <w:b w:val="0"/>
                <w:bCs w:val="0"/>
                <w:color w:val="auto"/>
                <w:sz w:val="16"/>
                <w:szCs w:val="16"/>
                <w:lang w:val="en-IE" w:eastAsia="en-US"/>
              </w:rPr>
              <w:t>AGT-</w:t>
            </w:r>
            <w:r w:rsidR="004D1D06" w:rsidRPr="006D427B">
              <w:rPr>
                <w:rFonts w:eastAsiaTheme="minorHAnsi" w:cs="Arial"/>
                <w:b w:val="0"/>
                <w:bCs w:val="0"/>
                <w:color w:val="auto"/>
                <w:sz w:val="16"/>
                <w:szCs w:val="16"/>
                <w:lang w:val="en-IE" w:eastAsia="en-US"/>
              </w:rPr>
              <w:t>TTA-CTG-AAG-GCA-AGT-AGC-AGA</w:t>
            </w:r>
            <w:r w:rsidRPr="006D427B">
              <w:rPr>
                <w:rFonts w:eastAsiaTheme="minorHAnsi" w:cs="Arial"/>
                <w:b w:val="0"/>
                <w:bCs w:val="0"/>
                <w:color w:val="auto"/>
                <w:sz w:val="16"/>
                <w:szCs w:val="16"/>
                <w:lang w:val="en-IE" w:eastAsia="en-US"/>
              </w:rPr>
              <w:br/>
              <w:t xml:space="preserve">Rev </w:t>
            </w:r>
            <w:r w:rsidR="00361837" w:rsidRPr="006D427B">
              <w:rPr>
                <w:rFonts w:eastAsiaTheme="minorHAnsi" w:cs="Arial"/>
                <w:b w:val="0"/>
                <w:bCs w:val="0"/>
                <w:color w:val="auto"/>
                <w:sz w:val="16"/>
                <w:szCs w:val="16"/>
                <w:lang w:val="en-IE" w:eastAsia="en-US"/>
              </w:rPr>
              <w:t>WSN1 R</w:t>
            </w:r>
            <w:r w:rsidRPr="006D427B">
              <w:rPr>
                <w:rFonts w:eastAsiaTheme="minorHAnsi" w:cs="Arial"/>
                <w:b w:val="0"/>
                <w:bCs w:val="0"/>
                <w:color w:val="auto"/>
                <w:sz w:val="16"/>
                <w:szCs w:val="16"/>
                <w:lang w:val="en-IE" w:eastAsia="en-US"/>
              </w:rPr>
              <w:t xml:space="preserve">: </w:t>
            </w:r>
            <w:r w:rsidR="00D733F2" w:rsidRPr="006D427B">
              <w:rPr>
                <w:rFonts w:eastAsiaTheme="minorHAnsi" w:cs="Arial"/>
                <w:b w:val="0"/>
                <w:bCs w:val="0"/>
                <w:color w:val="auto"/>
                <w:sz w:val="16"/>
                <w:szCs w:val="16"/>
                <w:lang w:val="en-IE" w:eastAsia="en-US"/>
              </w:rPr>
              <w:t>TCT-AAC-TTG-GAC-TCA-TTC-AAA-AGC</w:t>
            </w:r>
            <w:r w:rsidRPr="006D427B">
              <w:rPr>
                <w:rFonts w:eastAsiaTheme="minorHAnsi" w:cs="Arial"/>
                <w:b w:val="0"/>
                <w:bCs w:val="0"/>
                <w:color w:val="auto"/>
                <w:sz w:val="16"/>
                <w:szCs w:val="16"/>
                <w:lang w:val="en-IE" w:eastAsia="en-US"/>
              </w:rPr>
              <w:br/>
              <w:t>Probe</w:t>
            </w:r>
            <w:r w:rsidR="00361837" w:rsidRPr="006D427B">
              <w:rPr>
                <w:rFonts w:eastAsiaTheme="minorHAnsi" w:cs="Arial"/>
                <w:b w:val="0"/>
                <w:bCs w:val="0"/>
                <w:color w:val="auto"/>
                <w:sz w:val="16"/>
                <w:szCs w:val="16"/>
                <w:lang w:val="en-IE" w:eastAsia="en-US"/>
              </w:rPr>
              <w:t xml:space="preserve"> WS-RLO_P</w:t>
            </w:r>
            <w:r w:rsidRPr="006D427B">
              <w:rPr>
                <w:rFonts w:eastAsiaTheme="minorHAnsi" w:cs="Arial"/>
                <w:b w:val="0"/>
                <w:bCs w:val="0"/>
                <w:color w:val="auto"/>
                <w:sz w:val="16"/>
                <w:szCs w:val="16"/>
                <w:lang w:val="en-IE" w:eastAsia="en-US"/>
              </w:rPr>
              <w:t xml:space="preserve">: </w:t>
            </w:r>
            <w:r w:rsidR="00C173AF" w:rsidRPr="006D427B">
              <w:rPr>
                <w:rFonts w:eastAsiaTheme="minorHAnsi" w:cs="Arial"/>
                <w:b w:val="0"/>
                <w:bCs w:val="0"/>
                <w:color w:val="auto"/>
                <w:sz w:val="16"/>
                <w:szCs w:val="16"/>
                <w:lang w:val="en-IE" w:eastAsia="en-US"/>
              </w:rPr>
              <w:t>TGC-TTG-GAA-ATC-TAC-TCA-GAA-</w:t>
            </w:r>
            <w:r w:rsidR="003A616B" w:rsidRPr="006D427B">
              <w:rPr>
                <w:rFonts w:eastAsiaTheme="minorHAnsi" w:cs="Arial"/>
                <w:b w:val="0"/>
                <w:bCs w:val="0"/>
                <w:color w:val="auto"/>
                <w:sz w:val="16"/>
                <w:szCs w:val="16"/>
                <w:lang w:val="en-IE" w:eastAsia="en-US"/>
              </w:rPr>
              <w:t>GAC-ATG-A</w:t>
            </w:r>
          </w:p>
        </w:tc>
        <w:tc>
          <w:tcPr>
            <w:tcW w:w="1275" w:type="dxa"/>
            <w:tcBorders>
              <w:top w:val="single" w:sz="4" w:space="0" w:color="auto"/>
              <w:left w:val="single" w:sz="4" w:space="0" w:color="auto"/>
              <w:bottom w:val="single" w:sz="4" w:space="0" w:color="auto"/>
              <w:right w:val="single" w:sz="4" w:space="0" w:color="auto"/>
            </w:tcBorders>
            <w:vAlign w:val="center"/>
          </w:tcPr>
          <w:p w14:paraId="6D8CB966" w14:textId="3E7CE0FE" w:rsidR="007C546D" w:rsidRPr="006D427B" w:rsidRDefault="00C02F59" w:rsidP="001911B4">
            <w:pPr>
              <w:spacing w:before="120" w:after="120"/>
              <w:jc w:val="center"/>
              <w:rPr>
                <w:rFonts w:cs="Arial"/>
                <w:b w:val="0"/>
                <w:bCs w:val="0"/>
                <w:color w:val="auto"/>
                <w:sz w:val="16"/>
                <w:szCs w:val="16"/>
                <w:lang w:val="en-IE"/>
              </w:rPr>
            </w:pPr>
            <w:r w:rsidRPr="006D427B">
              <w:rPr>
                <w:rFonts w:cs="Arial"/>
                <w:b w:val="0"/>
                <w:bCs w:val="0"/>
                <w:color w:val="auto"/>
                <w:sz w:val="16"/>
                <w:szCs w:val="16"/>
                <w:lang w:val="en-IE"/>
              </w:rPr>
              <w:t>320</w:t>
            </w:r>
            <w:r w:rsidR="007C546D" w:rsidRPr="006D427B">
              <w:rPr>
                <w:rFonts w:cs="Arial"/>
                <w:b w:val="0"/>
                <w:bCs w:val="0"/>
                <w:color w:val="auto"/>
                <w:sz w:val="16"/>
                <w:szCs w:val="16"/>
                <w:lang w:val="en-IE"/>
              </w:rPr>
              <w:t> </w:t>
            </w:r>
            <w:proofErr w:type="spellStart"/>
            <w:r w:rsidR="007C546D" w:rsidRPr="006D427B">
              <w:rPr>
                <w:rFonts w:cs="Arial"/>
                <w:b w:val="0"/>
                <w:bCs w:val="0"/>
                <w:color w:val="auto"/>
                <w:sz w:val="16"/>
                <w:szCs w:val="16"/>
                <w:lang w:val="en-IE"/>
              </w:rPr>
              <w:t>nM</w:t>
            </w:r>
            <w:proofErr w:type="spellEnd"/>
            <w:r w:rsidR="001911B4" w:rsidRPr="006D427B">
              <w:rPr>
                <w:rFonts w:cs="Arial"/>
                <w:b w:val="0"/>
                <w:bCs w:val="0"/>
                <w:color w:val="auto"/>
                <w:sz w:val="16"/>
                <w:szCs w:val="16"/>
                <w:lang w:val="en-IE"/>
              </w:rPr>
              <w:br/>
              <w:t xml:space="preserve">320 </w:t>
            </w:r>
            <w:proofErr w:type="spellStart"/>
            <w:r w:rsidR="001911B4" w:rsidRPr="006D427B">
              <w:rPr>
                <w:rFonts w:cs="Arial"/>
                <w:b w:val="0"/>
                <w:bCs w:val="0"/>
                <w:color w:val="auto"/>
                <w:sz w:val="16"/>
                <w:szCs w:val="16"/>
                <w:lang w:val="en-IE"/>
              </w:rPr>
              <w:t>nM</w:t>
            </w:r>
            <w:proofErr w:type="spellEnd"/>
            <w:r w:rsidR="007C546D" w:rsidRPr="006D427B">
              <w:rPr>
                <w:rFonts w:cs="Arial"/>
                <w:b w:val="0"/>
                <w:bCs w:val="0"/>
                <w:color w:val="auto"/>
                <w:sz w:val="16"/>
                <w:szCs w:val="16"/>
                <w:lang w:val="en-IE"/>
              </w:rPr>
              <w:br/>
            </w:r>
            <w:r w:rsidR="001911B4" w:rsidRPr="006D427B">
              <w:rPr>
                <w:rFonts w:cs="Arial"/>
                <w:b w:val="0"/>
                <w:bCs w:val="0"/>
                <w:color w:val="auto"/>
                <w:sz w:val="16"/>
                <w:szCs w:val="16"/>
                <w:lang w:val="en-IE"/>
              </w:rPr>
              <w:t>200</w:t>
            </w:r>
            <w:r w:rsidR="007C546D" w:rsidRPr="006D427B">
              <w:rPr>
                <w:rFonts w:cs="Arial"/>
                <w:b w:val="0"/>
                <w:bCs w:val="0"/>
                <w:color w:val="auto"/>
                <w:sz w:val="16"/>
                <w:szCs w:val="16"/>
                <w:lang w:val="en-IE"/>
              </w:rPr>
              <w:t> </w:t>
            </w:r>
            <w:proofErr w:type="spellStart"/>
            <w:r w:rsidR="007C546D" w:rsidRPr="006D427B">
              <w:rPr>
                <w:rFonts w:cs="Arial"/>
                <w:b w:val="0"/>
                <w:bCs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AB178DD" w14:textId="5E045FB7" w:rsidR="007C546D" w:rsidRPr="006D427B" w:rsidRDefault="008F22F4">
            <w:pPr>
              <w:spacing w:before="120" w:after="120"/>
              <w:jc w:val="center"/>
              <w:rPr>
                <w:rFonts w:cs="Arial"/>
                <w:b w:val="0"/>
                <w:bCs w:val="0"/>
                <w:color w:val="auto"/>
                <w:sz w:val="16"/>
                <w:szCs w:val="16"/>
                <w:lang w:val="en-IE"/>
              </w:rPr>
            </w:pPr>
            <w:r w:rsidRPr="006D427B">
              <w:rPr>
                <w:rFonts w:eastAsia="Arial" w:cs="Arial"/>
                <w:b w:val="0"/>
                <w:bCs w:val="0"/>
                <w:color w:val="auto"/>
                <w:sz w:val="16"/>
                <w:szCs w:val="16"/>
                <w:lang w:val="en-IE"/>
              </w:rPr>
              <w:t>45</w:t>
            </w:r>
            <w:r w:rsidR="007C546D" w:rsidRPr="006D427B">
              <w:rPr>
                <w:rFonts w:eastAsia="Arial" w:cs="Arial"/>
                <w:b w:val="0"/>
                <w:bCs w:val="0"/>
                <w:color w:val="auto"/>
                <w:sz w:val="16"/>
                <w:szCs w:val="16"/>
                <w:lang w:val="en-IE"/>
              </w:rPr>
              <w:t> cycles</w:t>
            </w:r>
            <w:r w:rsidR="007C546D" w:rsidRPr="006D427B">
              <w:rPr>
                <w:rFonts w:eastAsia="Calibri" w:cs="Arial"/>
                <w:b w:val="0"/>
                <w:bCs w:val="0"/>
                <w:color w:val="auto"/>
                <w:sz w:val="16"/>
                <w:szCs w:val="16"/>
                <w:lang w:val="en-IE"/>
              </w:rPr>
              <w:t xml:space="preserve"> of: 95°C/15 sec and </w:t>
            </w:r>
            <w:r w:rsidRPr="006D427B">
              <w:rPr>
                <w:rFonts w:eastAsia="Calibri" w:cs="Arial"/>
                <w:b w:val="0"/>
                <w:bCs w:val="0"/>
                <w:color w:val="auto"/>
                <w:sz w:val="16"/>
                <w:szCs w:val="16"/>
                <w:lang w:val="en-IE"/>
              </w:rPr>
              <w:t>60</w:t>
            </w:r>
            <w:r w:rsidR="007C546D" w:rsidRPr="006D427B">
              <w:rPr>
                <w:rFonts w:eastAsia="Segoe UI" w:cs="Arial"/>
                <w:b w:val="0"/>
                <w:bCs w:val="0"/>
                <w:color w:val="auto"/>
                <w:sz w:val="16"/>
                <w:szCs w:val="16"/>
                <w:lang w:val="en-IE"/>
              </w:rPr>
              <w:t>°C/</w:t>
            </w:r>
            <w:r w:rsidRPr="006D427B">
              <w:rPr>
                <w:rFonts w:eastAsia="Segoe UI" w:cs="Arial"/>
                <w:b w:val="0"/>
                <w:bCs w:val="0"/>
                <w:color w:val="auto"/>
                <w:sz w:val="16"/>
                <w:szCs w:val="16"/>
                <w:lang w:val="en-IE"/>
              </w:rPr>
              <w:t>3</w:t>
            </w:r>
            <w:r w:rsidR="007C546D" w:rsidRPr="006D427B">
              <w:rPr>
                <w:rFonts w:eastAsia="Segoe UI" w:cs="Arial"/>
                <w:b w:val="0"/>
                <w:bCs w:val="0"/>
                <w:color w:val="auto"/>
                <w:sz w:val="16"/>
                <w:szCs w:val="16"/>
                <w:lang w:val="en-IE"/>
              </w:rPr>
              <w:t>0 sec</w:t>
            </w:r>
          </w:p>
        </w:tc>
      </w:tr>
    </w:tbl>
    <w:p w14:paraId="18C96335" w14:textId="0ACBCB40" w:rsidR="007C546D" w:rsidRPr="006D427B" w:rsidRDefault="00BC4790" w:rsidP="00AD27B2">
      <w:pPr>
        <w:pStyle w:val="1110"/>
        <w:spacing w:before="240"/>
      </w:pPr>
      <w:r w:rsidRPr="006D427B">
        <w:t>4.4.</w:t>
      </w:r>
      <w:r w:rsidR="000D33E5" w:rsidRPr="006D427B">
        <w:t>2</w:t>
      </w:r>
      <w:r w:rsidRPr="006D427B">
        <w:t>.</w:t>
      </w:r>
      <w:r w:rsidRPr="006D427B">
        <w:tab/>
        <w:t>Conventional PCR</w:t>
      </w:r>
    </w:p>
    <w:tbl>
      <w:tblPr>
        <w:tblStyle w:val="LightShading-Accent1"/>
        <w:tblW w:w="10348" w:type="dxa"/>
        <w:tblInd w:w="-714" w:type="dxa"/>
        <w:tblLayout w:type="fixed"/>
        <w:tblLook w:val="0660" w:firstRow="1" w:lastRow="1" w:firstColumn="0" w:lastColumn="0" w:noHBand="1" w:noVBand="1"/>
      </w:tblPr>
      <w:tblGrid>
        <w:gridCol w:w="1560"/>
        <w:gridCol w:w="5103"/>
        <w:gridCol w:w="1417"/>
        <w:gridCol w:w="2268"/>
      </w:tblGrid>
      <w:tr w:rsidR="00437CE1" w:rsidRPr="006D427B" w14:paraId="15E08304" w14:textId="77777777" w:rsidTr="00615089">
        <w:trPr>
          <w:cnfStyle w:val="100000000000" w:firstRow="1" w:lastRow="0" w:firstColumn="0" w:lastColumn="0" w:oddVBand="0" w:evenVBand="0" w:oddHBand="0" w:evenHBand="0" w:firstRowFirstColumn="0" w:firstRowLastColumn="0" w:lastRowFirstColumn="0" w:lastRowLastColumn="0"/>
          <w:trHeight w:val="236"/>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EF972A" w14:textId="494D2026"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Pathogen/</w:t>
            </w:r>
            <w:r w:rsidRPr="006D427B">
              <w:rPr>
                <w:rFonts w:ascii="Söhne Kräftig" w:eastAsiaTheme="minorHAnsi" w:hAnsi="Söhne Kräftig"/>
                <w:b w:val="0"/>
                <w:color w:val="auto"/>
                <w:sz w:val="16"/>
                <w:szCs w:val="16"/>
                <w:lang w:val="en-IE" w:eastAsia="en-US"/>
              </w:rPr>
              <w:br/>
              <w:t>target gene</w:t>
            </w:r>
          </w:p>
        </w:tc>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6CE80" w14:textId="7E5B8E19"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Primer (5’–3’)</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ACA65F" w14:textId="77777777"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774D62" w14:textId="357AEC3C" w:rsidR="007C546D" w:rsidRPr="006D427B" w:rsidRDefault="007C546D">
            <w:pPr>
              <w:spacing w:before="120" w:after="120"/>
              <w:jc w:val="center"/>
              <w:rPr>
                <w:rFonts w:ascii="Söhne Kräftig" w:hAnsi="Söhne Kräftig"/>
                <w:b w:val="0"/>
                <w:color w:val="auto"/>
                <w:sz w:val="16"/>
                <w:szCs w:val="16"/>
                <w:lang w:val="en-IE"/>
              </w:rPr>
            </w:pPr>
            <w:r w:rsidRPr="006D427B">
              <w:rPr>
                <w:rFonts w:ascii="Söhne Kräftig" w:hAnsi="Söhne Kräftig"/>
                <w:b w:val="0"/>
                <w:color w:val="auto"/>
                <w:sz w:val="16"/>
                <w:szCs w:val="16"/>
                <w:lang w:val="en-IE"/>
              </w:rPr>
              <w:t>Cycling parameters</w:t>
            </w:r>
            <w:r w:rsidR="00816B34" w:rsidRPr="006D427B">
              <w:rPr>
                <w:color w:val="auto"/>
                <w:sz w:val="16"/>
                <w:szCs w:val="16"/>
                <w:u w:val="double"/>
                <w:vertAlign w:val="superscript"/>
                <w:lang w:val="en-IE"/>
              </w:rPr>
              <w:t>(a)</w:t>
            </w:r>
          </w:p>
        </w:tc>
      </w:tr>
      <w:tr w:rsidR="00437CE1" w:rsidRPr="003E5EE5" w14:paraId="138FF008" w14:textId="77777777" w:rsidTr="00615089">
        <w:trPr>
          <w:trHeight w:val="236"/>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10EE5BA" w14:textId="2D427C14" w:rsidR="007C546D" w:rsidRPr="006D427B" w:rsidRDefault="003370EA">
            <w:pPr>
              <w:spacing w:before="120" w:after="120"/>
              <w:jc w:val="center"/>
              <w:rPr>
                <w:color w:val="auto"/>
                <w:sz w:val="16"/>
                <w:szCs w:val="16"/>
                <w:lang w:val="en-IE"/>
              </w:rPr>
            </w:pPr>
            <w:r w:rsidRPr="006D427B">
              <w:rPr>
                <w:color w:val="auto"/>
                <w:sz w:val="16"/>
                <w:szCs w:val="16"/>
                <w:lang w:val="en-IE"/>
              </w:rPr>
              <w:t xml:space="preserve">Method 1: </w:t>
            </w:r>
            <w:r w:rsidR="008344C8" w:rsidRPr="006D427B">
              <w:rPr>
                <w:color w:val="auto"/>
                <w:sz w:val="16"/>
                <w:szCs w:val="16"/>
                <w:lang w:val="en-IE"/>
              </w:rPr>
              <w:t xml:space="preserve">Andree </w:t>
            </w:r>
            <w:r w:rsidR="008344C8" w:rsidRPr="006D427B">
              <w:rPr>
                <w:i/>
                <w:iCs/>
                <w:color w:val="auto"/>
                <w:sz w:val="16"/>
                <w:szCs w:val="16"/>
                <w:lang w:val="en-IE"/>
              </w:rPr>
              <w:t>et al</w:t>
            </w:r>
            <w:r w:rsidR="008344C8" w:rsidRPr="006D427B">
              <w:rPr>
                <w:color w:val="auto"/>
                <w:sz w:val="16"/>
                <w:szCs w:val="16"/>
                <w:lang w:val="en-IE"/>
              </w:rPr>
              <w:t>.</w:t>
            </w:r>
            <w:r w:rsidRPr="006D427B">
              <w:rPr>
                <w:i/>
                <w:iCs/>
                <w:color w:val="auto"/>
                <w:sz w:val="16"/>
                <w:szCs w:val="16"/>
                <w:lang w:val="en-IE"/>
              </w:rPr>
              <w:t>,</w:t>
            </w:r>
            <w:r w:rsidRPr="006D427B">
              <w:rPr>
                <w:color w:val="auto"/>
                <w:sz w:val="16"/>
                <w:szCs w:val="16"/>
                <w:lang w:val="en-IE"/>
              </w:rPr>
              <w:t xml:space="preserve"> </w:t>
            </w:r>
            <w:r w:rsidR="008344C8" w:rsidRPr="006D427B">
              <w:rPr>
                <w:color w:val="auto"/>
                <w:sz w:val="16"/>
                <w:szCs w:val="16"/>
                <w:lang w:val="en-IE"/>
              </w:rPr>
              <w:t>2000</w:t>
            </w:r>
            <w:r w:rsidRPr="006D427B">
              <w:rPr>
                <w:color w:val="auto"/>
                <w:sz w:val="16"/>
                <w:szCs w:val="16"/>
                <w:lang w:val="en-IE"/>
              </w:rPr>
              <w:t xml:space="preserve">; </w:t>
            </w:r>
            <w:r w:rsidR="007C546D" w:rsidRPr="006D427B">
              <w:rPr>
                <w:color w:val="auto"/>
                <w:sz w:val="16"/>
                <w:szCs w:val="16"/>
                <w:lang w:val="en-IE"/>
              </w:rPr>
              <w:t>GenBank Accession No.</w:t>
            </w:r>
            <w:r w:rsidR="005C35B0" w:rsidRPr="006D427B">
              <w:rPr>
                <w:color w:val="auto"/>
                <w:sz w:val="16"/>
                <w:szCs w:val="16"/>
                <w:lang w:val="en-IE"/>
              </w:rPr>
              <w:t xml:space="preserve">: </w:t>
            </w:r>
            <w:r w:rsidR="00A62CDC" w:rsidRPr="006D427B">
              <w:rPr>
                <w:color w:val="auto"/>
                <w:sz w:val="16"/>
                <w:szCs w:val="16"/>
                <w:lang w:val="en-IE"/>
              </w:rPr>
              <w:t>AF133090</w:t>
            </w:r>
            <w:r w:rsidR="007C546D" w:rsidRPr="006D427B">
              <w:rPr>
                <w:color w:val="auto"/>
                <w:sz w:val="16"/>
                <w:szCs w:val="16"/>
                <w:lang w:val="en-IE"/>
              </w:rPr>
              <w:t xml:space="preserve">, </w:t>
            </w:r>
            <w:r w:rsidR="00C040C8" w:rsidRPr="006D427B">
              <w:rPr>
                <w:color w:val="auto"/>
                <w:sz w:val="16"/>
                <w:szCs w:val="16"/>
                <w:lang w:val="en-IE"/>
              </w:rPr>
              <w:t>amplicon</w:t>
            </w:r>
            <w:r w:rsidR="007C546D" w:rsidRPr="006D427B">
              <w:rPr>
                <w:color w:val="auto"/>
                <w:sz w:val="16"/>
                <w:szCs w:val="16"/>
                <w:lang w:val="en-IE"/>
              </w:rPr>
              <w:t xml:space="preserve"> size</w:t>
            </w:r>
            <w:r w:rsidR="00C040C8" w:rsidRPr="006D427B">
              <w:rPr>
                <w:color w:val="auto"/>
                <w:sz w:val="16"/>
                <w:szCs w:val="16"/>
                <w:lang w:val="en-IE"/>
              </w:rPr>
              <w:t>:</w:t>
            </w:r>
            <w:r w:rsidR="007C546D" w:rsidRPr="006D427B">
              <w:rPr>
                <w:color w:val="auto"/>
                <w:sz w:val="16"/>
                <w:szCs w:val="16"/>
                <w:lang w:val="en-IE"/>
              </w:rPr>
              <w:t xml:space="preserve"> </w:t>
            </w:r>
            <w:r w:rsidR="00386258" w:rsidRPr="006D427B">
              <w:rPr>
                <w:color w:val="auto"/>
                <w:sz w:val="16"/>
                <w:szCs w:val="16"/>
                <w:lang w:val="en-IE"/>
              </w:rPr>
              <w:t>160 bp</w:t>
            </w:r>
          </w:p>
        </w:tc>
      </w:tr>
      <w:tr w:rsidR="00437CE1" w:rsidRPr="00A41BA5" w14:paraId="5C10AE31" w14:textId="77777777" w:rsidTr="00615089">
        <w:trPr>
          <w:trHeight w:val="482"/>
        </w:trPr>
        <w:tc>
          <w:tcPr>
            <w:tcW w:w="1560" w:type="dxa"/>
            <w:tcBorders>
              <w:top w:val="single" w:sz="4" w:space="0" w:color="auto"/>
              <w:left w:val="single" w:sz="4" w:space="0" w:color="auto"/>
              <w:bottom w:val="single" w:sz="4" w:space="0" w:color="auto"/>
              <w:right w:val="single" w:sz="4" w:space="0" w:color="auto"/>
            </w:tcBorders>
            <w:noWrap/>
            <w:vAlign w:val="center"/>
          </w:tcPr>
          <w:p w14:paraId="13F8261F" w14:textId="52C62E43" w:rsidR="007C546D" w:rsidRPr="006D427B" w:rsidRDefault="00DB3D92">
            <w:pPr>
              <w:spacing w:before="120" w:after="120"/>
              <w:jc w:val="center"/>
              <w:rPr>
                <w:rFonts w:eastAsiaTheme="minorHAnsi" w:cs="Arial"/>
                <w:color w:val="auto"/>
                <w:sz w:val="16"/>
                <w:szCs w:val="16"/>
                <w:lang w:val="en-IE" w:eastAsia="en-US"/>
              </w:rPr>
            </w:pPr>
            <w:r w:rsidRPr="006D427B">
              <w:rPr>
                <w:rFonts w:eastAsiaTheme="minorHAnsi" w:cs="Arial"/>
                <w:color w:val="auto"/>
                <w:sz w:val="16"/>
                <w:szCs w:val="16"/>
                <w:lang w:val="en-IE" w:eastAsia="en-US"/>
              </w:rPr>
              <w:t>16S rDNA</w:t>
            </w:r>
          </w:p>
        </w:tc>
        <w:tc>
          <w:tcPr>
            <w:tcW w:w="5103" w:type="dxa"/>
            <w:tcBorders>
              <w:top w:val="single" w:sz="4" w:space="0" w:color="auto"/>
              <w:left w:val="single" w:sz="4" w:space="0" w:color="auto"/>
              <w:bottom w:val="single" w:sz="4" w:space="0" w:color="auto"/>
              <w:right w:val="single" w:sz="4" w:space="0" w:color="auto"/>
            </w:tcBorders>
            <w:vAlign w:val="center"/>
          </w:tcPr>
          <w:p w14:paraId="31DB241E" w14:textId="7B2DD2E2" w:rsidR="00694BAA" w:rsidRPr="006D427B" w:rsidRDefault="00A5520A" w:rsidP="001911B4">
            <w:pPr>
              <w:spacing w:before="120" w:after="120"/>
              <w:jc w:val="center"/>
              <w:rPr>
                <w:rFonts w:eastAsiaTheme="minorHAnsi" w:cs="Arial"/>
                <w:b/>
                <w:bCs/>
                <w:color w:val="auto"/>
                <w:sz w:val="16"/>
                <w:szCs w:val="16"/>
                <w:lang w:val="en-IE" w:eastAsia="en-US"/>
              </w:rPr>
            </w:pPr>
            <w:proofErr w:type="spellStart"/>
            <w:r w:rsidRPr="006D427B">
              <w:rPr>
                <w:rFonts w:eastAsiaTheme="minorHAnsi" w:cs="Arial"/>
                <w:color w:val="auto"/>
                <w:sz w:val="16"/>
                <w:szCs w:val="16"/>
                <w:lang w:val="en-IE" w:eastAsia="en-US"/>
              </w:rPr>
              <w:t>Fwd</w:t>
            </w:r>
            <w:proofErr w:type="spellEnd"/>
            <w:r w:rsidRPr="006D427B">
              <w:rPr>
                <w:rFonts w:eastAsiaTheme="minorHAnsi" w:cs="Arial"/>
                <w:color w:val="auto"/>
                <w:sz w:val="16"/>
                <w:szCs w:val="16"/>
                <w:lang w:val="en-IE" w:eastAsia="en-US"/>
              </w:rPr>
              <w:t xml:space="preserve"> RA 5-1: </w:t>
            </w:r>
            <w:r w:rsidR="00694BAA" w:rsidRPr="006D427B">
              <w:rPr>
                <w:rFonts w:eastAsiaTheme="minorHAnsi" w:cs="Arial"/>
                <w:color w:val="auto"/>
                <w:sz w:val="16"/>
                <w:szCs w:val="16"/>
                <w:lang w:val="en-IE" w:eastAsia="en-US"/>
              </w:rPr>
              <w:t>GTT-GAA-CGT-GCC</w:t>
            </w:r>
            <w:r w:rsidR="00A13964" w:rsidRPr="006D427B">
              <w:rPr>
                <w:rFonts w:eastAsiaTheme="minorHAnsi" w:cs="Arial"/>
                <w:color w:val="auto"/>
                <w:sz w:val="16"/>
                <w:szCs w:val="16"/>
                <w:lang w:val="en-IE" w:eastAsia="en-US"/>
              </w:rPr>
              <w:t>-TTC-AGT-TTA-C</w:t>
            </w:r>
            <w:r w:rsidR="001911B4" w:rsidRPr="006D427B">
              <w:rPr>
                <w:rFonts w:eastAsiaTheme="minorHAnsi" w:cs="Arial"/>
                <w:color w:val="auto"/>
                <w:sz w:val="16"/>
                <w:szCs w:val="16"/>
                <w:lang w:val="en-IE" w:eastAsia="en-US"/>
              </w:rPr>
              <w:br/>
            </w:r>
            <w:r w:rsidRPr="006D427B">
              <w:rPr>
                <w:rFonts w:eastAsiaTheme="minorHAnsi" w:cs="Arial"/>
                <w:color w:val="auto"/>
                <w:sz w:val="16"/>
                <w:szCs w:val="16"/>
                <w:lang w:val="en-IE" w:eastAsia="en-US"/>
              </w:rPr>
              <w:t>Rev</w:t>
            </w:r>
            <w:r w:rsidR="00A13964" w:rsidRPr="006D427B">
              <w:rPr>
                <w:rFonts w:eastAsiaTheme="minorHAnsi" w:cs="Arial"/>
                <w:color w:val="auto"/>
                <w:sz w:val="16"/>
                <w:szCs w:val="16"/>
                <w:lang w:val="en-IE" w:eastAsia="en-US"/>
              </w:rPr>
              <w:t xml:space="preserve"> RA 3-6</w:t>
            </w:r>
            <w:r w:rsidRPr="006D427B">
              <w:rPr>
                <w:rFonts w:eastAsiaTheme="minorHAnsi" w:cs="Arial"/>
                <w:b/>
                <w:bCs/>
                <w:color w:val="auto"/>
                <w:sz w:val="16"/>
                <w:szCs w:val="16"/>
                <w:lang w:val="en-IE" w:eastAsia="en-US"/>
              </w:rPr>
              <w:t xml:space="preserve">: </w:t>
            </w:r>
            <w:r w:rsidR="00A13964" w:rsidRPr="006D427B">
              <w:rPr>
                <w:rFonts w:eastAsiaTheme="minorHAnsi" w:cs="Arial"/>
                <w:color w:val="auto"/>
                <w:sz w:val="16"/>
                <w:szCs w:val="16"/>
                <w:lang w:val="en-IE" w:eastAsia="en-US"/>
              </w:rPr>
              <w:t>ACT-TGG-ACT-CAT-TCA-AAA-GCG-GA</w:t>
            </w:r>
          </w:p>
        </w:tc>
        <w:tc>
          <w:tcPr>
            <w:tcW w:w="1417" w:type="dxa"/>
            <w:tcBorders>
              <w:top w:val="single" w:sz="4" w:space="0" w:color="auto"/>
              <w:left w:val="single" w:sz="4" w:space="0" w:color="auto"/>
              <w:bottom w:val="single" w:sz="4" w:space="0" w:color="auto"/>
              <w:right w:val="single" w:sz="4" w:space="0" w:color="auto"/>
            </w:tcBorders>
            <w:vAlign w:val="center"/>
          </w:tcPr>
          <w:p w14:paraId="3F0556DC" w14:textId="53E344EB" w:rsidR="007C546D" w:rsidRPr="006D427B" w:rsidRDefault="00946A59">
            <w:pPr>
              <w:spacing w:before="120" w:after="120"/>
              <w:jc w:val="center"/>
              <w:rPr>
                <w:rFonts w:cs="Arial"/>
                <w:color w:val="auto"/>
                <w:sz w:val="16"/>
                <w:szCs w:val="16"/>
                <w:lang w:val="en-IE"/>
              </w:rPr>
            </w:pPr>
            <w:r w:rsidRPr="006D427B">
              <w:rPr>
                <w:rFonts w:cs="Arial"/>
                <w:color w:val="auto"/>
                <w:sz w:val="16"/>
                <w:szCs w:val="16"/>
                <w:lang w:val="en-IE"/>
              </w:rPr>
              <w:t>500</w:t>
            </w:r>
            <w:r w:rsidR="007C546D" w:rsidRPr="006D427B">
              <w:rPr>
                <w:rFonts w:cs="Arial"/>
                <w:color w:val="auto"/>
                <w:sz w:val="16"/>
                <w:szCs w:val="16"/>
                <w:lang w:val="en-IE"/>
              </w:rPr>
              <w:t> </w:t>
            </w:r>
            <w:proofErr w:type="spellStart"/>
            <w:r w:rsidR="007C546D" w:rsidRPr="006D427B">
              <w:rPr>
                <w:rFonts w:cs="Arial"/>
                <w:color w:val="auto"/>
                <w:sz w:val="16"/>
                <w:szCs w:val="16"/>
                <w:lang w:val="en-IE"/>
              </w:rPr>
              <w:t>nM</w:t>
            </w:r>
            <w:proofErr w:type="spellEnd"/>
            <w:r w:rsidR="007C546D" w:rsidRPr="006D427B">
              <w:rPr>
                <w:rFonts w:cs="Arial"/>
                <w:color w:val="auto"/>
                <w:sz w:val="16"/>
                <w:szCs w:val="16"/>
                <w:lang w:val="en-IE"/>
              </w:rPr>
              <w:br/>
            </w:r>
            <w:r w:rsidRPr="006D427B">
              <w:rPr>
                <w:rFonts w:cs="Arial"/>
                <w:color w:val="auto"/>
                <w:sz w:val="16"/>
                <w:szCs w:val="16"/>
                <w:lang w:val="en-IE"/>
              </w:rPr>
              <w:t>500</w:t>
            </w:r>
            <w:r w:rsidR="007C546D" w:rsidRPr="006D427B">
              <w:rPr>
                <w:rFonts w:cs="Arial"/>
                <w:color w:val="auto"/>
                <w:sz w:val="16"/>
                <w:szCs w:val="16"/>
                <w:lang w:val="en-IE"/>
              </w:rPr>
              <w:t> </w:t>
            </w:r>
            <w:proofErr w:type="spellStart"/>
            <w:r w:rsidR="007C546D" w:rsidRPr="006D427B">
              <w:rPr>
                <w:rFonts w:cs="Arial"/>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AE20618" w14:textId="36675450" w:rsidR="005E5E0F" w:rsidRPr="006D427B" w:rsidRDefault="00A467F7">
            <w:pPr>
              <w:spacing w:before="120" w:after="120"/>
              <w:jc w:val="center"/>
              <w:rPr>
                <w:rFonts w:eastAsia="Segoe UI" w:cs="Arial"/>
                <w:color w:val="auto"/>
                <w:sz w:val="16"/>
                <w:szCs w:val="16"/>
                <w:lang w:val="en-IE"/>
              </w:rPr>
            </w:pPr>
            <w:r w:rsidRPr="006D427B">
              <w:rPr>
                <w:rFonts w:eastAsia="Arial" w:cs="Arial"/>
                <w:color w:val="auto"/>
                <w:sz w:val="16"/>
                <w:szCs w:val="16"/>
                <w:lang w:val="en-IE"/>
              </w:rPr>
              <w:t>4</w:t>
            </w:r>
            <w:r w:rsidR="007C546D" w:rsidRPr="006D427B">
              <w:rPr>
                <w:rFonts w:eastAsia="Arial" w:cs="Arial"/>
                <w:color w:val="auto"/>
                <w:sz w:val="16"/>
                <w:szCs w:val="16"/>
                <w:lang w:val="en-IE"/>
              </w:rPr>
              <w:t>0 cycles</w:t>
            </w:r>
            <w:r w:rsidR="007C546D" w:rsidRPr="006D427B">
              <w:rPr>
                <w:rFonts w:eastAsia="Calibri" w:cs="Arial"/>
                <w:color w:val="auto"/>
                <w:sz w:val="16"/>
                <w:szCs w:val="16"/>
                <w:lang w:val="en-IE"/>
              </w:rPr>
              <w:t xml:space="preserve"> of: 95°C/</w:t>
            </w:r>
            <w:r w:rsidRPr="006D427B">
              <w:rPr>
                <w:rFonts w:eastAsia="Calibri" w:cs="Arial"/>
                <w:color w:val="auto"/>
                <w:sz w:val="16"/>
                <w:szCs w:val="16"/>
                <w:lang w:val="en-IE"/>
              </w:rPr>
              <w:t>60</w:t>
            </w:r>
            <w:r w:rsidR="007C546D" w:rsidRPr="006D427B">
              <w:rPr>
                <w:rFonts w:eastAsia="Calibri" w:cs="Arial"/>
                <w:color w:val="auto"/>
                <w:sz w:val="16"/>
                <w:szCs w:val="16"/>
                <w:lang w:val="en-IE"/>
              </w:rPr>
              <w:t xml:space="preserve"> sec</w:t>
            </w:r>
            <w:r w:rsidR="00CD6EEC" w:rsidRPr="006D427B">
              <w:rPr>
                <w:rFonts w:eastAsia="Calibri" w:cs="Arial"/>
                <w:color w:val="auto"/>
                <w:sz w:val="16"/>
                <w:szCs w:val="16"/>
                <w:lang w:val="en-IE"/>
              </w:rPr>
              <w:t>,</w:t>
            </w:r>
            <w:r w:rsidR="007C546D" w:rsidRPr="006D427B">
              <w:rPr>
                <w:rFonts w:eastAsia="Calibri" w:cs="Arial"/>
                <w:color w:val="auto"/>
                <w:sz w:val="16"/>
                <w:szCs w:val="16"/>
                <w:lang w:val="en-IE"/>
              </w:rPr>
              <w:t xml:space="preserve"> 5</w:t>
            </w:r>
            <w:r w:rsidR="00871BC1" w:rsidRPr="006D427B">
              <w:rPr>
                <w:rFonts w:eastAsia="Calibri" w:cs="Arial"/>
                <w:color w:val="auto"/>
                <w:sz w:val="16"/>
                <w:szCs w:val="16"/>
                <w:lang w:val="en-IE"/>
              </w:rPr>
              <w:t>0</w:t>
            </w:r>
            <w:r w:rsidR="007C546D" w:rsidRPr="006D427B">
              <w:rPr>
                <w:rFonts w:eastAsia="Segoe UI" w:cs="Arial"/>
                <w:color w:val="auto"/>
                <w:sz w:val="16"/>
                <w:szCs w:val="16"/>
                <w:lang w:val="en-IE"/>
              </w:rPr>
              <w:t>°C/</w:t>
            </w:r>
            <w:r w:rsidR="00871BC1" w:rsidRPr="006D427B">
              <w:rPr>
                <w:rFonts w:eastAsia="Segoe UI" w:cs="Arial"/>
                <w:color w:val="auto"/>
                <w:sz w:val="16"/>
                <w:szCs w:val="16"/>
                <w:lang w:val="en-IE"/>
              </w:rPr>
              <w:t>3</w:t>
            </w:r>
            <w:r w:rsidR="007C546D" w:rsidRPr="006D427B">
              <w:rPr>
                <w:rFonts w:eastAsia="Segoe UI" w:cs="Arial"/>
                <w:color w:val="auto"/>
                <w:sz w:val="16"/>
                <w:szCs w:val="16"/>
                <w:lang w:val="en-IE"/>
              </w:rPr>
              <w:t>0 sec</w:t>
            </w:r>
            <w:r w:rsidR="000609FC" w:rsidRPr="006D427B">
              <w:rPr>
                <w:rFonts w:eastAsia="Segoe UI" w:cs="Arial"/>
                <w:color w:val="auto"/>
                <w:sz w:val="16"/>
                <w:szCs w:val="16"/>
                <w:lang w:val="en-IE"/>
              </w:rPr>
              <w:t xml:space="preserve"> and </w:t>
            </w:r>
            <w:r w:rsidR="000609FC" w:rsidRPr="006D427B">
              <w:rPr>
                <w:rFonts w:eastAsia="Calibri" w:cs="Arial"/>
                <w:color w:val="auto"/>
                <w:sz w:val="16"/>
                <w:szCs w:val="16"/>
                <w:lang w:val="en-IE"/>
              </w:rPr>
              <w:t>72</w:t>
            </w:r>
            <w:r w:rsidR="000609FC" w:rsidRPr="006D427B">
              <w:rPr>
                <w:rFonts w:eastAsia="Segoe UI" w:cs="Arial"/>
                <w:color w:val="auto"/>
                <w:sz w:val="16"/>
                <w:szCs w:val="16"/>
                <w:lang w:val="en-IE"/>
              </w:rPr>
              <w:t>°C/30</w:t>
            </w:r>
            <w:r w:rsidR="00881731" w:rsidRPr="006D427B">
              <w:rPr>
                <w:rFonts w:eastAsia="Segoe UI" w:cs="Arial"/>
                <w:color w:val="auto"/>
                <w:sz w:val="16"/>
                <w:szCs w:val="16"/>
                <w:lang w:val="en-IE"/>
              </w:rPr>
              <w:t> </w:t>
            </w:r>
            <w:r w:rsidR="000609FC" w:rsidRPr="006D427B">
              <w:rPr>
                <w:rFonts w:eastAsia="Segoe UI" w:cs="Arial"/>
                <w:color w:val="auto"/>
                <w:sz w:val="16"/>
                <w:szCs w:val="16"/>
                <w:lang w:val="en-IE"/>
              </w:rPr>
              <w:t>sec</w:t>
            </w:r>
          </w:p>
        </w:tc>
      </w:tr>
      <w:tr w:rsidR="00437CE1" w:rsidRPr="003E5EE5" w14:paraId="383DFD25" w14:textId="77777777" w:rsidTr="004D4538">
        <w:trPr>
          <w:trHeight w:val="482"/>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603E2C" w14:textId="57C699D0" w:rsidR="005E5E0F" w:rsidRPr="006D427B" w:rsidRDefault="005E5E0F">
            <w:pPr>
              <w:spacing w:before="120" w:after="120"/>
              <w:jc w:val="center"/>
              <w:rPr>
                <w:rFonts w:ascii="Arial" w:eastAsia="Arial" w:hAnsi="Arial" w:cs="Arial"/>
                <w:b/>
                <w:bCs/>
                <w:color w:val="auto"/>
                <w:sz w:val="16"/>
                <w:szCs w:val="16"/>
                <w:lang w:val="en-IE"/>
              </w:rPr>
            </w:pPr>
            <w:r w:rsidRPr="006D427B">
              <w:rPr>
                <w:color w:val="auto"/>
                <w:sz w:val="16"/>
                <w:szCs w:val="16"/>
                <w:lang w:val="en-IE"/>
              </w:rPr>
              <w:t xml:space="preserve">Method </w:t>
            </w:r>
            <w:r w:rsidR="0046296E" w:rsidRPr="006D427B">
              <w:rPr>
                <w:color w:val="auto"/>
                <w:sz w:val="16"/>
                <w:szCs w:val="16"/>
                <w:lang w:val="en-IE"/>
              </w:rPr>
              <w:t>2</w:t>
            </w:r>
            <w:r w:rsidRPr="006D427B">
              <w:rPr>
                <w:color w:val="auto"/>
                <w:sz w:val="16"/>
                <w:szCs w:val="16"/>
                <w:lang w:val="en-IE"/>
              </w:rPr>
              <w:t xml:space="preserve">: </w:t>
            </w:r>
            <w:r w:rsidR="00496111" w:rsidRPr="006D427B">
              <w:rPr>
                <w:color w:val="auto"/>
                <w:sz w:val="16"/>
                <w:szCs w:val="16"/>
                <w:lang w:val="en-IE"/>
              </w:rPr>
              <w:t>Cicala</w:t>
            </w:r>
            <w:r w:rsidRPr="006D427B">
              <w:rPr>
                <w:color w:val="auto"/>
                <w:sz w:val="16"/>
                <w:szCs w:val="16"/>
                <w:lang w:val="en-IE"/>
              </w:rPr>
              <w:t xml:space="preserve"> </w:t>
            </w:r>
            <w:r w:rsidRPr="006D427B">
              <w:rPr>
                <w:i/>
                <w:iCs/>
                <w:color w:val="auto"/>
                <w:sz w:val="16"/>
                <w:szCs w:val="16"/>
                <w:lang w:val="en-IE"/>
              </w:rPr>
              <w:t>et al</w:t>
            </w:r>
            <w:r w:rsidRPr="006D427B">
              <w:rPr>
                <w:color w:val="auto"/>
                <w:sz w:val="16"/>
                <w:szCs w:val="16"/>
                <w:lang w:val="en-IE"/>
              </w:rPr>
              <w:t>.</w:t>
            </w:r>
            <w:r w:rsidRPr="006D427B">
              <w:rPr>
                <w:i/>
                <w:iCs/>
                <w:color w:val="auto"/>
                <w:sz w:val="16"/>
                <w:szCs w:val="16"/>
                <w:lang w:val="en-IE"/>
              </w:rPr>
              <w:t>,</w:t>
            </w:r>
            <w:r w:rsidRPr="006D427B">
              <w:rPr>
                <w:color w:val="auto"/>
                <w:sz w:val="16"/>
                <w:szCs w:val="16"/>
                <w:lang w:val="en-IE"/>
              </w:rPr>
              <w:t xml:space="preserve"> 20</w:t>
            </w:r>
            <w:r w:rsidR="00496111" w:rsidRPr="006D427B">
              <w:rPr>
                <w:color w:val="auto"/>
                <w:sz w:val="16"/>
                <w:szCs w:val="16"/>
                <w:lang w:val="en-IE"/>
              </w:rPr>
              <w:t>17</w:t>
            </w:r>
            <w:r w:rsidRPr="006D427B">
              <w:rPr>
                <w:color w:val="auto"/>
                <w:sz w:val="16"/>
                <w:szCs w:val="16"/>
                <w:lang w:val="en-IE"/>
              </w:rPr>
              <w:t>; GenBank Accession No.:</w:t>
            </w:r>
            <w:r w:rsidR="00881731" w:rsidRPr="006D427B">
              <w:rPr>
                <w:color w:val="auto"/>
                <w:sz w:val="16"/>
                <w:szCs w:val="16"/>
                <w:lang w:val="en-IE"/>
              </w:rPr>
              <w:t xml:space="preserve"> </w:t>
            </w:r>
            <w:r w:rsidR="00C83A77" w:rsidRPr="006D427B">
              <w:rPr>
                <w:color w:val="auto"/>
                <w:sz w:val="16"/>
                <w:szCs w:val="16"/>
                <w:lang w:val="en-IE"/>
              </w:rPr>
              <w:t>KU645900</w:t>
            </w:r>
            <w:r w:rsidRPr="006D427B">
              <w:rPr>
                <w:color w:val="auto"/>
                <w:sz w:val="16"/>
                <w:szCs w:val="16"/>
                <w:lang w:val="en-IE"/>
              </w:rPr>
              <w:t xml:space="preserve">, amplicon size: </w:t>
            </w:r>
            <w:r w:rsidR="00917567" w:rsidRPr="006D427B">
              <w:rPr>
                <w:color w:val="auto"/>
                <w:sz w:val="16"/>
                <w:szCs w:val="16"/>
                <w:lang w:val="en-IE"/>
              </w:rPr>
              <w:t>426</w:t>
            </w:r>
            <w:r w:rsidRPr="006D427B">
              <w:rPr>
                <w:color w:val="auto"/>
                <w:sz w:val="16"/>
                <w:szCs w:val="16"/>
                <w:lang w:val="en-IE"/>
              </w:rPr>
              <w:t xml:space="preserve"> bp</w:t>
            </w:r>
          </w:p>
        </w:tc>
      </w:tr>
      <w:tr w:rsidR="00437CE1" w:rsidRPr="00A41BA5" w14:paraId="6418A4A8" w14:textId="77777777" w:rsidTr="00615089">
        <w:trPr>
          <w:cnfStyle w:val="010000000000" w:firstRow="0" w:lastRow="1" w:firstColumn="0" w:lastColumn="0" w:oddVBand="0" w:evenVBand="0" w:oddHBand="0" w:evenHBand="0" w:firstRowFirstColumn="0" w:firstRowLastColumn="0" w:lastRowFirstColumn="0" w:lastRowLastColumn="0"/>
          <w:trHeight w:val="482"/>
        </w:trPr>
        <w:tc>
          <w:tcPr>
            <w:tcW w:w="1560" w:type="dxa"/>
            <w:tcBorders>
              <w:top w:val="single" w:sz="4" w:space="0" w:color="auto"/>
              <w:left w:val="single" w:sz="4" w:space="0" w:color="auto"/>
              <w:bottom w:val="single" w:sz="4" w:space="0" w:color="auto"/>
              <w:right w:val="single" w:sz="4" w:space="0" w:color="auto"/>
            </w:tcBorders>
            <w:noWrap/>
            <w:vAlign w:val="center"/>
          </w:tcPr>
          <w:p w14:paraId="097FE5B5" w14:textId="7C6B4195" w:rsidR="005E5E0F" w:rsidRPr="006D427B" w:rsidRDefault="005E5E0F" w:rsidP="005E5E0F">
            <w:pPr>
              <w:spacing w:before="120" w:after="120"/>
              <w:jc w:val="center"/>
              <w:rPr>
                <w:rFonts w:cs="Arial"/>
                <w:b w:val="0"/>
                <w:bCs w:val="0"/>
                <w:color w:val="auto"/>
                <w:sz w:val="16"/>
                <w:szCs w:val="16"/>
                <w:lang w:val="en-IE"/>
              </w:rPr>
            </w:pPr>
            <w:r w:rsidRPr="006D427B">
              <w:rPr>
                <w:rFonts w:eastAsiaTheme="minorHAnsi" w:cs="Arial"/>
                <w:b w:val="0"/>
                <w:bCs w:val="0"/>
                <w:color w:val="auto"/>
                <w:sz w:val="16"/>
                <w:szCs w:val="16"/>
                <w:lang w:val="en-IE" w:eastAsia="en-US"/>
              </w:rPr>
              <w:lastRenderedPageBreak/>
              <w:t>16S rDNA</w:t>
            </w:r>
          </w:p>
        </w:tc>
        <w:tc>
          <w:tcPr>
            <w:tcW w:w="5103" w:type="dxa"/>
            <w:tcBorders>
              <w:top w:val="single" w:sz="4" w:space="0" w:color="auto"/>
              <w:left w:val="single" w:sz="4" w:space="0" w:color="auto"/>
              <w:bottom w:val="single" w:sz="4" w:space="0" w:color="auto"/>
              <w:right w:val="single" w:sz="4" w:space="0" w:color="auto"/>
            </w:tcBorders>
            <w:vAlign w:val="center"/>
          </w:tcPr>
          <w:p w14:paraId="0A9BF6E5" w14:textId="588730E3" w:rsidR="005E5E0F" w:rsidRPr="006D427B" w:rsidRDefault="00724D55" w:rsidP="00584533">
            <w:pPr>
              <w:spacing w:before="120" w:after="120"/>
              <w:jc w:val="center"/>
              <w:rPr>
                <w:rFonts w:cs="Arial"/>
                <w:b w:val="0"/>
                <w:bCs w:val="0"/>
                <w:color w:val="auto"/>
                <w:sz w:val="16"/>
                <w:szCs w:val="16"/>
                <w:lang w:val="en-IE"/>
              </w:rPr>
            </w:pPr>
            <w:proofErr w:type="spellStart"/>
            <w:r w:rsidRPr="006D427B">
              <w:rPr>
                <w:rFonts w:eastAsiaTheme="minorHAnsi" w:cs="Arial"/>
                <w:b w:val="0"/>
                <w:bCs w:val="0"/>
                <w:color w:val="auto"/>
                <w:sz w:val="16"/>
                <w:szCs w:val="16"/>
                <w:lang w:val="en-IE" w:eastAsia="en-US"/>
              </w:rPr>
              <w:t>Fwd</w:t>
            </w:r>
            <w:proofErr w:type="spellEnd"/>
            <w:r w:rsidRPr="006D427B">
              <w:rPr>
                <w:rFonts w:eastAsiaTheme="minorHAnsi" w:cs="Arial"/>
                <w:b w:val="0"/>
                <w:bCs w:val="0"/>
                <w:color w:val="auto"/>
                <w:sz w:val="16"/>
                <w:szCs w:val="16"/>
                <w:lang w:val="en-IE" w:eastAsia="en-US"/>
              </w:rPr>
              <w:t xml:space="preserve"> ss16S-F: GCC</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TCA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GTT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TGG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CTG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GGT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TCT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TCA</w:t>
            </w:r>
            <w:r w:rsidR="00584533" w:rsidRPr="006D427B">
              <w:rPr>
                <w:rFonts w:eastAsiaTheme="minorHAnsi" w:cs="Arial"/>
                <w:color w:val="auto"/>
                <w:sz w:val="16"/>
                <w:szCs w:val="16"/>
                <w:lang w:val="en-IE" w:eastAsia="en-US"/>
              </w:rPr>
              <w:br/>
            </w:r>
            <w:r w:rsidR="0070314D" w:rsidRPr="006D427B">
              <w:rPr>
                <w:rFonts w:eastAsiaTheme="minorHAnsi" w:cs="Arial"/>
                <w:b w:val="0"/>
                <w:bCs w:val="0"/>
                <w:color w:val="auto"/>
                <w:sz w:val="16"/>
                <w:szCs w:val="16"/>
                <w:lang w:val="en-IE" w:eastAsia="en-US"/>
              </w:rPr>
              <w:t xml:space="preserve">Rev </w:t>
            </w:r>
            <w:r w:rsidRPr="006D427B">
              <w:rPr>
                <w:rFonts w:eastAsiaTheme="minorHAnsi" w:cs="Arial"/>
                <w:b w:val="0"/>
                <w:bCs w:val="0"/>
                <w:color w:val="auto"/>
                <w:sz w:val="16"/>
                <w:szCs w:val="16"/>
                <w:lang w:val="en-IE" w:eastAsia="en-US"/>
              </w:rPr>
              <w:t>ss16S-R: GAA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TTG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CCA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CTT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TAA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AGT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ATG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GAC</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GG</w:t>
            </w:r>
          </w:p>
        </w:tc>
        <w:tc>
          <w:tcPr>
            <w:tcW w:w="1417" w:type="dxa"/>
            <w:tcBorders>
              <w:top w:val="single" w:sz="4" w:space="0" w:color="auto"/>
              <w:left w:val="single" w:sz="4" w:space="0" w:color="auto"/>
              <w:bottom w:val="single" w:sz="4" w:space="0" w:color="auto"/>
              <w:right w:val="single" w:sz="4" w:space="0" w:color="auto"/>
            </w:tcBorders>
            <w:vAlign w:val="center"/>
          </w:tcPr>
          <w:p w14:paraId="1C5B7421" w14:textId="3CA1E484" w:rsidR="005E5E0F" w:rsidRPr="006D427B" w:rsidRDefault="00706A5C" w:rsidP="005E5E0F">
            <w:pPr>
              <w:spacing w:before="120" w:after="120"/>
              <w:jc w:val="center"/>
              <w:rPr>
                <w:rFonts w:cs="Arial"/>
                <w:b w:val="0"/>
                <w:bCs w:val="0"/>
                <w:color w:val="auto"/>
                <w:sz w:val="16"/>
                <w:szCs w:val="16"/>
                <w:lang w:val="en-IE"/>
              </w:rPr>
            </w:pPr>
            <w:r w:rsidRPr="006D427B">
              <w:rPr>
                <w:rFonts w:cs="Arial"/>
                <w:b w:val="0"/>
                <w:bCs w:val="0"/>
                <w:color w:val="auto"/>
                <w:sz w:val="16"/>
                <w:szCs w:val="16"/>
                <w:lang w:val="en-IE"/>
              </w:rPr>
              <w:t>300</w:t>
            </w:r>
            <w:r w:rsidR="005E5E0F" w:rsidRPr="006D427B">
              <w:rPr>
                <w:rFonts w:cs="Arial"/>
                <w:b w:val="0"/>
                <w:bCs w:val="0"/>
                <w:color w:val="auto"/>
                <w:sz w:val="16"/>
                <w:szCs w:val="16"/>
                <w:lang w:val="en-IE"/>
              </w:rPr>
              <w:t> </w:t>
            </w:r>
            <w:proofErr w:type="spellStart"/>
            <w:r w:rsidR="005E5E0F" w:rsidRPr="006D427B">
              <w:rPr>
                <w:rFonts w:cs="Arial"/>
                <w:b w:val="0"/>
                <w:bCs w:val="0"/>
                <w:color w:val="auto"/>
                <w:sz w:val="16"/>
                <w:szCs w:val="16"/>
                <w:lang w:val="en-IE"/>
              </w:rPr>
              <w:t>nM</w:t>
            </w:r>
            <w:proofErr w:type="spellEnd"/>
            <w:r w:rsidR="005E5E0F" w:rsidRPr="006D427B">
              <w:rPr>
                <w:rFonts w:cs="Arial"/>
                <w:b w:val="0"/>
                <w:bCs w:val="0"/>
                <w:color w:val="auto"/>
                <w:sz w:val="16"/>
                <w:szCs w:val="16"/>
                <w:lang w:val="en-IE"/>
              </w:rPr>
              <w:br/>
            </w:r>
            <w:r w:rsidRPr="006D427B">
              <w:rPr>
                <w:rFonts w:cs="Arial"/>
                <w:b w:val="0"/>
                <w:bCs w:val="0"/>
                <w:color w:val="auto"/>
                <w:sz w:val="16"/>
                <w:szCs w:val="16"/>
                <w:lang w:val="en-IE"/>
              </w:rPr>
              <w:t>300</w:t>
            </w:r>
            <w:r w:rsidR="005E5E0F" w:rsidRPr="006D427B">
              <w:rPr>
                <w:rFonts w:cs="Arial"/>
                <w:b w:val="0"/>
                <w:bCs w:val="0"/>
                <w:color w:val="auto"/>
                <w:sz w:val="16"/>
                <w:szCs w:val="16"/>
                <w:lang w:val="en-IE"/>
              </w:rPr>
              <w:t> </w:t>
            </w:r>
            <w:proofErr w:type="spellStart"/>
            <w:r w:rsidR="005E5E0F" w:rsidRPr="006D427B">
              <w:rPr>
                <w:rFonts w:cs="Arial"/>
                <w:b w:val="0"/>
                <w:bCs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B82CDA8" w14:textId="4BCB47DF" w:rsidR="005E5E0F" w:rsidRPr="006D427B" w:rsidRDefault="00DB7D5D" w:rsidP="005E5E0F">
            <w:pPr>
              <w:spacing w:before="120" w:after="120"/>
              <w:jc w:val="center"/>
              <w:rPr>
                <w:rFonts w:eastAsia="Arial" w:cs="Arial"/>
                <w:b w:val="0"/>
                <w:bCs w:val="0"/>
                <w:color w:val="auto"/>
                <w:sz w:val="16"/>
                <w:szCs w:val="16"/>
                <w:lang w:val="en-IE"/>
              </w:rPr>
            </w:pPr>
            <w:r w:rsidRPr="006D427B">
              <w:rPr>
                <w:rFonts w:eastAsia="Arial" w:cs="Arial"/>
                <w:b w:val="0"/>
                <w:bCs w:val="0"/>
                <w:color w:val="auto"/>
                <w:sz w:val="16"/>
                <w:szCs w:val="16"/>
                <w:lang w:val="en-IE"/>
              </w:rPr>
              <w:t>4</w:t>
            </w:r>
            <w:r w:rsidR="005E5E0F" w:rsidRPr="006D427B">
              <w:rPr>
                <w:rFonts w:eastAsia="Arial" w:cs="Arial"/>
                <w:b w:val="0"/>
                <w:bCs w:val="0"/>
                <w:color w:val="auto"/>
                <w:sz w:val="16"/>
                <w:szCs w:val="16"/>
                <w:lang w:val="en-IE"/>
              </w:rPr>
              <w:t>0 cycles</w:t>
            </w:r>
            <w:r w:rsidR="005E5E0F" w:rsidRPr="006D427B">
              <w:rPr>
                <w:rFonts w:eastAsia="Calibri" w:cs="Arial"/>
                <w:b w:val="0"/>
                <w:bCs w:val="0"/>
                <w:color w:val="auto"/>
                <w:sz w:val="16"/>
                <w:szCs w:val="16"/>
                <w:lang w:val="en-IE"/>
              </w:rPr>
              <w:t xml:space="preserve"> of: 9</w:t>
            </w:r>
            <w:r w:rsidR="00706A5C" w:rsidRPr="006D427B">
              <w:rPr>
                <w:rFonts w:eastAsia="Calibri" w:cs="Arial"/>
                <w:b w:val="0"/>
                <w:bCs w:val="0"/>
                <w:color w:val="auto"/>
                <w:sz w:val="16"/>
                <w:szCs w:val="16"/>
                <w:lang w:val="en-IE"/>
              </w:rPr>
              <w:t>4</w:t>
            </w:r>
            <w:r w:rsidR="005E5E0F" w:rsidRPr="006D427B">
              <w:rPr>
                <w:rFonts w:eastAsia="Calibri" w:cs="Arial"/>
                <w:b w:val="0"/>
                <w:bCs w:val="0"/>
                <w:color w:val="auto"/>
                <w:sz w:val="16"/>
                <w:szCs w:val="16"/>
                <w:lang w:val="en-IE"/>
              </w:rPr>
              <w:t xml:space="preserve">°C/60 sec, </w:t>
            </w:r>
            <w:r w:rsidR="00D06B65" w:rsidRPr="006D427B">
              <w:rPr>
                <w:rFonts w:eastAsia="Calibri" w:cs="Arial"/>
                <w:b w:val="0"/>
                <w:bCs w:val="0"/>
                <w:color w:val="auto"/>
                <w:sz w:val="16"/>
                <w:szCs w:val="16"/>
                <w:lang w:val="en-IE"/>
              </w:rPr>
              <w:t>6</w:t>
            </w:r>
            <w:r w:rsidR="00917567" w:rsidRPr="006D427B">
              <w:rPr>
                <w:rFonts w:eastAsia="Calibri" w:cs="Arial"/>
                <w:b w:val="0"/>
                <w:bCs w:val="0"/>
                <w:color w:val="auto"/>
                <w:sz w:val="16"/>
                <w:szCs w:val="16"/>
                <w:lang w:val="en-IE"/>
              </w:rPr>
              <w:t>6</w:t>
            </w:r>
            <w:r w:rsidR="005E5E0F" w:rsidRPr="006D427B">
              <w:rPr>
                <w:rFonts w:eastAsia="Segoe UI" w:cs="Arial"/>
                <w:b w:val="0"/>
                <w:bCs w:val="0"/>
                <w:color w:val="auto"/>
                <w:sz w:val="16"/>
                <w:szCs w:val="16"/>
                <w:lang w:val="en-IE"/>
              </w:rPr>
              <w:t xml:space="preserve">°C/30 sec and </w:t>
            </w:r>
            <w:r w:rsidR="00917567" w:rsidRPr="006D427B">
              <w:rPr>
                <w:rFonts w:eastAsia="Calibri" w:cs="Arial"/>
                <w:b w:val="0"/>
                <w:bCs w:val="0"/>
                <w:color w:val="auto"/>
                <w:sz w:val="16"/>
                <w:szCs w:val="16"/>
                <w:lang w:val="en-IE"/>
              </w:rPr>
              <w:t>7</w:t>
            </w:r>
            <w:r w:rsidR="005E5E0F" w:rsidRPr="006D427B">
              <w:rPr>
                <w:rFonts w:eastAsia="Calibri" w:cs="Arial"/>
                <w:b w:val="0"/>
                <w:bCs w:val="0"/>
                <w:color w:val="auto"/>
                <w:sz w:val="16"/>
                <w:szCs w:val="16"/>
                <w:lang w:val="en-IE"/>
              </w:rPr>
              <w:t>2</w:t>
            </w:r>
            <w:r w:rsidR="005E5E0F" w:rsidRPr="006D427B">
              <w:rPr>
                <w:rFonts w:eastAsia="Segoe UI" w:cs="Arial"/>
                <w:b w:val="0"/>
                <w:bCs w:val="0"/>
                <w:color w:val="auto"/>
                <w:sz w:val="16"/>
                <w:szCs w:val="16"/>
                <w:lang w:val="en-IE"/>
              </w:rPr>
              <w:t>°C/30</w:t>
            </w:r>
            <w:r w:rsidR="00881731" w:rsidRPr="006D427B">
              <w:rPr>
                <w:rFonts w:eastAsia="Segoe UI" w:cs="Arial"/>
                <w:b w:val="0"/>
                <w:bCs w:val="0"/>
                <w:color w:val="auto"/>
                <w:sz w:val="16"/>
                <w:szCs w:val="16"/>
                <w:lang w:val="en-IE"/>
              </w:rPr>
              <w:t> </w:t>
            </w:r>
            <w:r w:rsidR="005E5E0F" w:rsidRPr="006D427B">
              <w:rPr>
                <w:rFonts w:eastAsia="Segoe UI" w:cs="Arial"/>
                <w:b w:val="0"/>
                <w:bCs w:val="0"/>
                <w:color w:val="auto"/>
                <w:sz w:val="16"/>
                <w:szCs w:val="16"/>
                <w:lang w:val="en-IE"/>
              </w:rPr>
              <w:t>sec</w:t>
            </w:r>
          </w:p>
        </w:tc>
      </w:tr>
    </w:tbl>
    <w:p w14:paraId="45A7FF83" w14:textId="1684BC58" w:rsidR="00BC4790" w:rsidRPr="006D427B" w:rsidRDefault="00BC4790" w:rsidP="009E293C">
      <w:pPr>
        <w:pStyle w:val="1110"/>
        <w:spacing w:before="240"/>
        <w:rPr>
          <w:lang w:val="en-IE"/>
        </w:rPr>
      </w:pPr>
      <w:bookmarkStart w:id="21" w:name="_Hlk34054492"/>
      <w:r w:rsidRPr="006D427B">
        <w:rPr>
          <w:lang w:val="en-IE"/>
        </w:rPr>
        <w:t>4.4.</w:t>
      </w:r>
      <w:r w:rsidR="000D33E5" w:rsidRPr="006D427B">
        <w:rPr>
          <w:lang w:val="en-IE"/>
        </w:rPr>
        <w:t>3</w:t>
      </w:r>
      <w:r w:rsidRPr="006D427B">
        <w:rPr>
          <w:lang w:val="en-IE"/>
        </w:rPr>
        <w:t>.</w:t>
      </w:r>
      <w:r w:rsidRPr="006D427B">
        <w:rPr>
          <w:lang w:val="en-IE"/>
        </w:rPr>
        <w:tab/>
        <w:t>Other nucleic acid amplification methods</w:t>
      </w:r>
    </w:p>
    <w:bookmarkEnd w:id="21"/>
    <w:p w14:paraId="5902319C" w14:textId="66162D76" w:rsidR="00BC4790" w:rsidRPr="006D427B" w:rsidRDefault="000D1A95" w:rsidP="000D1A95">
      <w:pPr>
        <w:pStyle w:val="Para2"/>
      </w:pPr>
      <w:r w:rsidRPr="006D427B">
        <w:rPr>
          <w:rFonts w:cs="Arial"/>
        </w:rPr>
        <w:t>Not applicable.</w:t>
      </w:r>
    </w:p>
    <w:p w14:paraId="44361287" w14:textId="77777777" w:rsidR="00BC4790" w:rsidRPr="006D427B" w:rsidRDefault="00BC4790" w:rsidP="00BC4790">
      <w:pPr>
        <w:pStyle w:val="110"/>
      </w:pPr>
      <w:bookmarkStart w:id="22" w:name="_Hlk34054505"/>
      <w:bookmarkStart w:id="23" w:name="_Hlk114644157"/>
      <w:r w:rsidRPr="006D427B">
        <w:t>4.5.</w:t>
      </w:r>
      <w:r w:rsidRPr="006D427B">
        <w:tab/>
        <w:t>Amplicon sequencing</w:t>
      </w:r>
    </w:p>
    <w:bookmarkEnd w:id="22"/>
    <w:p w14:paraId="1668CEBE" w14:textId="77777777" w:rsidR="00E32B6F" w:rsidRPr="006D427B" w:rsidRDefault="00E32B6F" w:rsidP="00E32B6F">
      <w:pPr>
        <w:pStyle w:val="Para2"/>
        <w:rPr>
          <w:strike/>
        </w:rPr>
      </w:pPr>
      <w:r w:rsidRPr="006D427B">
        <w:t>The size of the PCR amplicon should be verified, for example by agarose gel electrophoresis. Both DNA strands of the PCR product must be sequenced and analysed in comparison with reference sequences.</w:t>
      </w:r>
    </w:p>
    <w:p w14:paraId="43F7F7A8" w14:textId="77777777" w:rsidR="00BC4790" w:rsidRPr="006D427B" w:rsidRDefault="00BC4790" w:rsidP="00BC4790">
      <w:pPr>
        <w:pStyle w:val="110"/>
      </w:pPr>
      <w:bookmarkStart w:id="24" w:name="_Hlk34054758"/>
      <w:bookmarkEnd w:id="23"/>
      <w:r w:rsidRPr="006D427B">
        <w:t>4.6.</w:t>
      </w:r>
      <w:r w:rsidRPr="006D427B">
        <w:tab/>
      </w:r>
      <w:r w:rsidRPr="006D427B">
        <w:rPr>
          <w:i/>
        </w:rPr>
        <w:t>In-situ</w:t>
      </w:r>
      <w:r w:rsidRPr="006D427B">
        <w:t xml:space="preserve"> hybridisation</w:t>
      </w:r>
    </w:p>
    <w:bookmarkEnd w:id="24"/>
    <w:p w14:paraId="459A5EB7" w14:textId="4711E382" w:rsidR="0056489D" w:rsidRPr="006D427B" w:rsidRDefault="0056489D" w:rsidP="00F854B6">
      <w:pPr>
        <w:pStyle w:val="Para2"/>
      </w:pPr>
      <w:r w:rsidRPr="006D427B">
        <w:t xml:space="preserve">Use of </w:t>
      </w:r>
      <w:proofErr w:type="spellStart"/>
      <w:r w:rsidR="00CC3C5C" w:rsidRPr="006D427B">
        <w:t>Rickettsiales</w:t>
      </w:r>
      <w:proofErr w:type="spellEnd"/>
      <w:r w:rsidR="00CC3C5C" w:rsidRPr="006D427B">
        <w:t xml:space="preserve">-like prokaryotes </w:t>
      </w:r>
      <w:r w:rsidRPr="006D427B">
        <w:t xml:space="preserve">specific DNA probes with histological sections is useful to demonstrate the presence of </w:t>
      </w:r>
      <w:r w:rsidR="00493F0B" w:rsidRPr="006D427B">
        <w:rPr>
          <w:i/>
          <w:iCs/>
        </w:rPr>
        <w:t>X. californiensis</w:t>
      </w:r>
      <w:r w:rsidRPr="006D427B">
        <w:t xml:space="preserve"> nucleic acid in infected cells (</w:t>
      </w:r>
      <w:r w:rsidR="00493F0B" w:rsidRPr="006D427B">
        <w:t xml:space="preserve">Antonio </w:t>
      </w:r>
      <w:r w:rsidR="00493F0B" w:rsidRPr="006D427B">
        <w:rPr>
          <w:i/>
          <w:iCs/>
        </w:rPr>
        <w:t>et al</w:t>
      </w:r>
      <w:r w:rsidR="00B74FFE" w:rsidRPr="006D427B">
        <w:t>., 2000</w:t>
      </w:r>
      <w:r w:rsidRPr="006D427B">
        <w:t>). See Chapter 2.</w:t>
      </w:r>
      <w:r w:rsidR="006F5DBE" w:rsidRPr="006D427B">
        <w:t>4</w:t>
      </w:r>
      <w:r w:rsidRPr="006D427B">
        <w:t xml:space="preserve">.0 Section 5.5.4 for general comments on </w:t>
      </w:r>
      <w:r w:rsidRPr="006D427B">
        <w:rPr>
          <w:i/>
          <w:iCs/>
        </w:rPr>
        <w:t>in</w:t>
      </w:r>
      <w:r w:rsidR="00EB2102" w:rsidRPr="006D427B">
        <w:rPr>
          <w:i/>
          <w:iCs/>
        </w:rPr>
        <w:t>-</w:t>
      </w:r>
      <w:r w:rsidRPr="006D427B">
        <w:rPr>
          <w:i/>
          <w:iCs/>
        </w:rPr>
        <w:t>situ</w:t>
      </w:r>
      <w:r w:rsidRPr="006D427B">
        <w:t xml:space="preserve"> hybridisation.</w:t>
      </w:r>
    </w:p>
    <w:p w14:paraId="550EAB48" w14:textId="785E3EB6" w:rsidR="00F854B6" w:rsidRPr="006D427B" w:rsidRDefault="00F854B6" w:rsidP="00F854B6">
      <w:pPr>
        <w:pStyle w:val="Para2"/>
      </w:pPr>
      <w:r w:rsidRPr="006D427B">
        <w:rPr>
          <w:lang w:val="en-ZA"/>
        </w:rPr>
        <w:t xml:space="preserve">Antonio </w:t>
      </w:r>
      <w:r w:rsidRPr="006D427B">
        <w:rPr>
          <w:i/>
          <w:lang w:val="en-ZA"/>
        </w:rPr>
        <w:t>et al.</w:t>
      </w:r>
      <w:r w:rsidRPr="006D427B">
        <w:rPr>
          <w:lang w:val="en-ZA"/>
        </w:rPr>
        <w:t xml:space="preserve"> </w:t>
      </w:r>
      <w:r w:rsidRPr="006D427B">
        <w:t>(2000) developed a</w:t>
      </w:r>
      <w:r w:rsidR="00BE342F" w:rsidRPr="006D427B">
        <w:t>n ISH</w:t>
      </w:r>
      <w:r w:rsidR="006F50EA" w:rsidRPr="006D427B">
        <w:t xml:space="preserve"> </w:t>
      </w:r>
      <w:r w:rsidRPr="006D427B">
        <w:t>method targeting the 16S</w:t>
      </w:r>
      <w:r w:rsidR="006F50EA" w:rsidRPr="006D427B">
        <w:t xml:space="preserve"> rDNA</w:t>
      </w:r>
      <w:r w:rsidRPr="006D427B">
        <w:t xml:space="preserve"> gene. This method allows the detection of </w:t>
      </w:r>
      <w:proofErr w:type="spellStart"/>
      <w:r w:rsidR="00F2401C" w:rsidRPr="006D427B">
        <w:t>Rickettsiales</w:t>
      </w:r>
      <w:proofErr w:type="spellEnd"/>
      <w:r w:rsidR="00F2401C" w:rsidRPr="006D427B">
        <w:t>-like prokaryotes in tissue sections</w:t>
      </w:r>
      <w:r w:rsidRPr="006D427B">
        <w:t xml:space="preserve">. </w:t>
      </w:r>
      <w:r w:rsidR="001D11E9" w:rsidRPr="006D427B">
        <w:t xml:space="preserve">Although this method has not been formally validated, tests for specificity using several bivalve and fish rickettsial organisms suggested that the test was specific for </w:t>
      </w:r>
      <w:r w:rsidR="001D11E9" w:rsidRPr="006D427B">
        <w:rPr>
          <w:i/>
          <w:iCs/>
        </w:rPr>
        <w:t>X. californiensis</w:t>
      </w:r>
      <w:r w:rsidR="001D11E9" w:rsidRPr="006D427B">
        <w:t>.</w:t>
      </w:r>
    </w:p>
    <w:tbl>
      <w:tblPr>
        <w:tblStyle w:val="TableGrid"/>
        <w:tblW w:w="8613" w:type="dxa"/>
        <w:jc w:val="center"/>
        <w:tblLayout w:type="fixed"/>
        <w:tblLook w:val="04A0" w:firstRow="1" w:lastRow="0" w:firstColumn="1" w:lastColumn="0" w:noHBand="0" w:noVBand="1"/>
      </w:tblPr>
      <w:tblGrid>
        <w:gridCol w:w="1161"/>
        <w:gridCol w:w="2208"/>
        <w:gridCol w:w="4252"/>
        <w:gridCol w:w="992"/>
      </w:tblGrid>
      <w:tr w:rsidR="00F854B6" w:rsidRPr="006D427B" w14:paraId="3F3A8FCB" w14:textId="77777777" w:rsidTr="0027179C">
        <w:trPr>
          <w:jc w:val="center"/>
        </w:trPr>
        <w:tc>
          <w:tcPr>
            <w:tcW w:w="1161" w:type="dxa"/>
            <w:shd w:val="clear" w:color="auto" w:fill="BFBFBF" w:themeFill="background1" w:themeFillShade="BF"/>
            <w:vAlign w:val="center"/>
          </w:tcPr>
          <w:p w14:paraId="1DEE20A1" w14:textId="77777777" w:rsidR="00F854B6" w:rsidRPr="006D427B" w:rsidRDefault="00F854B6" w:rsidP="0027179C">
            <w:pPr>
              <w:pStyle w:val="Para2"/>
              <w:spacing w:before="120" w:after="120"/>
              <w:ind w:left="0"/>
              <w:jc w:val="center"/>
              <w:rPr>
                <w:rFonts w:ascii="Söhne Kräftig" w:eastAsiaTheme="minorHAnsi" w:hAnsi="Söhne Kräftig"/>
                <w:sz w:val="16"/>
                <w:szCs w:val="16"/>
              </w:rPr>
            </w:pPr>
            <w:r w:rsidRPr="006D427B">
              <w:rPr>
                <w:rFonts w:ascii="Söhne Kräftig" w:eastAsiaTheme="minorHAnsi" w:hAnsi="Söhne Kräftig"/>
                <w:sz w:val="16"/>
                <w:szCs w:val="16"/>
              </w:rPr>
              <w:t>Reference</w:t>
            </w:r>
          </w:p>
        </w:tc>
        <w:tc>
          <w:tcPr>
            <w:tcW w:w="2208" w:type="dxa"/>
            <w:shd w:val="clear" w:color="auto" w:fill="BFBFBF" w:themeFill="background1" w:themeFillShade="BF"/>
            <w:vAlign w:val="center"/>
          </w:tcPr>
          <w:p w14:paraId="536688CB" w14:textId="77777777" w:rsidR="00F854B6" w:rsidRPr="006D427B" w:rsidRDefault="00F854B6" w:rsidP="0027179C">
            <w:pPr>
              <w:pStyle w:val="Para2"/>
              <w:spacing w:before="120" w:after="120"/>
              <w:ind w:left="0"/>
              <w:jc w:val="center"/>
              <w:rPr>
                <w:rFonts w:ascii="Söhne Kräftig" w:hAnsi="Söhne Kräftig"/>
                <w:sz w:val="16"/>
                <w:szCs w:val="16"/>
              </w:rPr>
            </w:pPr>
            <w:r w:rsidRPr="006D427B">
              <w:rPr>
                <w:rFonts w:ascii="Söhne Kräftig" w:eastAsiaTheme="minorHAnsi" w:hAnsi="Söhne Kräftig"/>
                <w:sz w:val="16"/>
                <w:szCs w:val="16"/>
              </w:rPr>
              <w:t>Pathogen/target gene</w:t>
            </w:r>
          </w:p>
        </w:tc>
        <w:tc>
          <w:tcPr>
            <w:tcW w:w="4252" w:type="dxa"/>
            <w:shd w:val="clear" w:color="auto" w:fill="BFBFBF" w:themeFill="background1" w:themeFillShade="BF"/>
            <w:vAlign w:val="center"/>
          </w:tcPr>
          <w:p w14:paraId="1F9AB874" w14:textId="77777777" w:rsidR="00F854B6" w:rsidRPr="006D427B" w:rsidRDefault="00F854B6" w:rsidP="0027179C">
            <w:pPr>
              <w:pStyle w:val="Para2"/>
              <w:spacing w:before="120" w:after="120"/>
              <w:ind w:left="0"/>
              <w:jc w:val="center"/>
              <w:rPr>
                <w:rFonts w:ascii="Söhne Kräftig" w:hAnsi="Söhne Kräftig"/>
                <w:sz w:val="16"/>
                <w:szCs w:val="16"/>
              </w:rPr>
            </w:pPr>
            <w:r w:rsidRPr="006D427B">
              <w:rPr>
                <w:rFonts w:ascii="Söhne Kräftig" w:hAnsi="Söhne Kräftig"/>
                <w:sz w:val="16"/>
                <w:szCs w:val="16"/>
              </w:rPr>
              <w:t>ISH probe</w:t>
            </w:r>
          </w:p>
        </w:tc>
        <w:tc>
          <w:tcPr>
            <w:tcW w:w="992" w:type="dxa"/>
            <w:shd w:val="clear" w:color="auto" w:fill="BFBFBF" w:themeFill="background1" w:themeFillShade="BF"/>
            <w:vAlign w:val="center"/>
          </w:tcPr>
          <w:p w14:paraId="0DA2F26A" w14:textId="77777777" w:rsidR="00F854B6" w:rsidRPr="006D427B" w:rsidRDefault="00F854B6" w:rsidP="0027179C">
            <w:pPr>
              <w:pStyle w:val="Para2"/>
              <w:spacing w:before="120" w:after="120"/>
              <w:ind w:left="0"/>
              <w:jc w:val="center"/>
              <w:rPr>
                <w:rFonts w:ascii="Söhne Kräftig" w:hAnsi="Söhne Kräftig"/>
                <w:sz w:val="16"/>
                <w:szCs w:val="16"/>
              </w:rPr>
            </w:pPr>
            <w:r w:rsidRPr="006D427B">
              <w:rPr>
                <w:rFonts w:ascii="Söhne Kräftig" w:hAnsi="Söhne Kräftig"/>
                <w:sz w:val="16"/>
                <w:szCs w:val="16"/>
              </w:rPr>
              <w:t>Probe size</w:t>
            </w:r>
          </w:p>
        </w:tc>
      </w:tr>
      <w:tr w:rsidR="00F854B6" w:rsidRPr="006D427B" w14:paraId="0215866F" w14:textId="77777777" w:rsidTr="0027179C">
        <w:trPr>
          <w:jc w:val="center"/>
        </w:trPr>
        <w:tc>
          <w:tcPr>
            <w:tcW w:w="1161" w:type="dxa"/>
          </w:tcPr>
          <w:p w14:paraId="44AB3CEE" w14:textId="52DFF37C" w:rsidR="00F854B6" w:rsidRPr="006D427B" w:rsidRDefault="0042021C" w:rsidP="0027179C">
            <w:pPr>
              <w:pStyle w:val="Para2"/>
              <w:spacing w:before="120" w:after="120"/>
              <w:ind w:left="0"/>
              <w:jc w:val="center"/>
              <w:rPr>
                <w:bCs/>
                <w:sz w:val="16"/>
                <w:szCs w:val="16"/>
              </w:rPr>
            </w:pPr>
            <w:r w:rsidRPr="006D427B">
              <w:rPr>
                <w:bCs/>
                <w:sz w:val="16"/>
                <w:szCs w:val="16"/>
              </w:rPr>
              <w:t>Antonio</w:t>
            </w:r>
            <w:r w:rsidR="00F854B6" w:rsidRPr="006D427B">
              <w:rPr>
                <w:bCs/>
                <w:sz w:val="16"/>
                <w:szCs w:val="16"/>
              </w:rPr>
              <w:t xml:space="preserve"> </w:t>
            </w:r>
            <w:r w:rsidR="00F854B6" w:rsidRPr="006D427B">
              <w:rPr>
                <w:bCs/>
                <w:i/>
                <w:iCs/>
                <w:sz w:val="16"/>
                <w:szCs w:val="16"/>
              </w:rPr>
              <w:t xml:space="preserve">et al. </w:t>
            </w:r>
            <w:r w:rsidR="00F854B6" w:rsidRPr="006D427B">
              <w:rPr>
                <w:bCs/>
                <w:sz w:val="16"/>
                <w:szCs w:val="16"/>
              </w:rPr>
              <w:t>(</w:t>
            </w:r>
            <w:r w:rsidRPr="006D427B">
              <w:rPr>
                <w:bCs/>
                <w:sz w:val="16"/>
                <w:szCs w:val="16"/>
              </w:rPr>
              <w:t>2000</w:t>
            </w:r>
            <w:r w:rsidR="00F854B6" w:rsidRPr="006D427B">
              <w:rPr>
                <w:bCs/>
                <w:sz w:val="16"/>
                <w:szCs w:val="16"/>
              </w:rPr>
              <w:t>)</w:t>
            </w:r>
          </w:p>
        </w:tc>
        <w:tc>
          <w:tcPr>
            <w:tcW w:w="2208" w:type="dxa"/>
          </w:tcPr>
          <w:p w14:paraId="784D5CA9" w14:textId="45CC9E2D" w:rsidR="00F854B6" w:rsidRPr="006D427B" w:rsidRDefault="00FA6BFD" w:rsidP="0027179C">
            <w:pPr>
              <w:pStyle w:val="Para2"/>
              <w:spacing w:before="120" w:after="120"/>
              <w:ind w:left="0"/>
              <w:jc w:val="center"/>
              <w:rPr>
                <w:bCs/>
                <w:iCs/>
                <w:sz w:val="16"/>
                <w:szCs w:val="16"/>
              </w:rPr>
            </w:pPr>
            <w:r w:rsidRPr="006D427B">
              <w:rPr>
                <w:bCs/>
                <w:iCs/>
                <w:sz w:val="16"/>
                <w:szCs w:val="16"/>
              </w:rPr>
              <w:t>16S rDNA</w:t>
            </w:r>
          </w:p>
        </w:tc>
        <w:tc>
          <w:tcPr>
            <w:tcW w:w="4252" w:type="dxa"/>
          </w:tcPr>
          <w:p w14:paraId="4AE8B64E" w14:textId="706E4961" w:rsidR="00F854B6" w:rsidRPr="006D427B" w:rsidRDefault="002E5AF2" w:rsidP="0027179C">
            <w:pPr>
              <w:pStyle w:val="Para2"/>
              <w:spacing w:before="120" w:after="120"/>
              <w:ind w:left="0"/>
              <w:jc w:val="center"/>
              <w:rPr>
                <w:sz w:val="16"/>
                <w:szCs w:val="16"/>
              </w:rPr>
            </w:pPr>
            <w:r w:rsidRPr="006D427B">
              <w:rPr>
                <w:sz w:val="16"/>
                <w:szCs w:val="16"/>
              </w:rPr>
              <w:t>RA 5-1</w:t>
            </w:r>
            <w:r w:rsidR="00AA45C8" w:rsidRPr="006D427B">
              <w:rPr>
                <w:sz w:val="16"/>
                <w:szCs w:val="16"/>
              </w:rPr>
              <w:t>:</w:t>
            </w:r>
            <w:r w:rsidRPr="006D427B">
              <w:rPr>
                <w:sz w:val="16"/>
                <w:szCs w:val="16"/>
              </w:rPr>
              <w:t xml:space="preserve"> GTT</w:t>
            </w:r>
            <w:r w:rsidR="00AA45C8" w:rsidRPr="006D427B">
              <w:rPr>
                <w:sz w:val="16"/>
                <w:szCs w:val="16"/>
              </w:rPr>
              <w:t>-</w:t>
            </w:r>
            <w:r w:rsidRPr="006D427B">
              <w:rPr>
                <w:sz w:val="16"/>
                <w:szCs w:val="16"/>
              </w:rPr>
              <w:t>GAA</w:t>
            </w:r>
            <w:r w:rsidR="00AA45C8" w:rsidRPr="006D427B">
              <w:rPr>
                <w:sz w:val="16"/>
                <w:szCs w:val="16"/>
              </w:rPr>
              <w:t>-</w:t>
            </w:r>
            <w:r w:rsidRPr="006D427B">
              <w:rPr>
                <w:sz w:val="16"/>
                <w:szCs w:val="16"/>
              </w:rPr>
              <w:t>CGT</w:t>
            </w:r>
            <w:r w:rsidR="00AA45C8" w:rsidRPr="006D427B">
              <w:rPr>
                <w:sz w:val="16"/>
                <w:szCs w:val="16"/>
              </w:rPr>
              <w:t>-</w:t>
            </w:r>
            <w:r w:rsidRPr="006D427B">
              <w:rPr>
                <w:sz w:val="16"/>
                <w:szCs w:val="16"/>
              </w:rPr>
              <w:t>GCC</w:t>
            </w:r>
            <w:r w:rsidR="00AA45C8" w:rsidRPr="006D427B">
              <w:rPr>
                <w:sz w:val="16"/>
                <w:szCs w:val="16"/>
              </w:rPr>
              <w:t>-</w:t>
            </w:r>
            <w:r w:rsidRPr="006D427B">
              <w:rPr>
                <w:sz w:val="16"/>
                <w:szCs w:val="16"/>
              </w:rPr>
              <w:t>TTC</w:t>
            </w:r>
            <w:r w:rsidR="00AA45C8" w:rsidRPr="006D427B">
              <w:rPr>
                <w:sz w:val="16"/>
                <w:szCs w:val="16"/>
              </w:rPr>
              <w:t>-</w:t>
            </w:r>
            <w:r w:rsidRPr="006D427B">
              <w:rPr>
                <w:sz w:val="16"/>
                <w:szCs w:val="16"/>
              </w:rPr>
              <w:t>AGT</w:t>
            </w:r>
            <w:r w:rsidR="00AA45C8" w:rsidRPr="006D427B">
              <w:rPr>
                <w:sz w:val="16"/>
                <w:szCs w:val="16"/>
              </w:rPr>
              <w:t>-</w:t>
            </w:r>
            <w:r w:rsidRPr="006D427B">
              <w:rPr>
                <w:sz w:val="16"/>
                <w:szCs w:val="16"/>
              </w:rPr>
              <w:t>TTA</w:t>
            </w:r>
            <w:r w:rsidR="00AA45C8" w:rsidRPr="006D427B">
              <w:rPr>
                <w:sz w:val="16"/>
                <w:szCs w:val="16"/>
              </w:rPr>
              <w:t>-</w:t>
            </w:r>
            <w:r w:rsidRPr="006D427B">
              <w:rPr>
                <w:sz w:val="16"/>
                <w:szCs w:val="16"/>
              </w:rPr>
              <w:t>C</w:t>
            </w:r>
            <w:r w:rsidR="0093268F" w:rsidRPr="006D427B">
              <w:rPr>
                <w:sz w:val="16"/>
                <w:szCs w:val="16"/>
              </w:rPr>
              <w:br/>
            </w:r>
            <w:r w:rsidRPr="006D427B">
              <w:rPr>
                <w:sz w:val="16"/>
                <w:szCs w:val="16"/>
              </w:rPr>
              <w:t>RA 3-6</w:t>
            </w:r>
            <w:r w:rsidR="00AA45C8" w:rsidRPr="006D427B">
              <w:rPr>
                <w:sz w:val="16"/>
                <w:szCs w:val="16"/>
              </w:rPr>
              <w:t>:</w:t>
            </w:r>
            <w:r w:rsidRPr="006D427B">
              <w:rPr>
                <w:sz w:val="16"/>
                <w:szCs w:val="16"/>
              </w:rPr>
              <w:t xml:space="preserve"> ACT</w:t>
            </w:r>
            <w:r w:rsidR="00AA45C8" w:rsidRPr="006D427B">
              <w:rPr>
                <w:sz w:val="16"/>
                <w:szCs w:val="16"/>
              </w:rPr>
              <w:t>-</w:t>
            </w:r>
            <w:r w:rsidRPr="006D427B">
              <w:rPr>
                <w:sz w:val="16"/>
                <w:szCs w:val="16"/>
              </w:rPr>
              <w:t>TGG</w:t>
            </w:r>
            <w:r w:rsidR="00AA45C8" w:rsidRPr="006D427B">
              <w:rPr>
                <w:sz w:val="16"/>
                <w:szCs w:val="16"/>
              </w:rPr>
              <w:t>-</w:t>
            </w:r>
            <w:r w:rsidRPr="006D427B">
              <w:rPr>
                <w:sz w:val="16"/>
                <w:szCs w:val="16"/>
              </w:rPr>
              <w:t>ACT</w:t>
            </w:r>
            <w:r w:rsidR="00AA45C8" w:rsidRPr="006D427B">
              <w:rPr>
                <w:sz w:val="16"/>
                <w:szCs w:val="16"/>
              </w:rPr>
              <w:t>-</w:t>
            </w:r>
            <w:r w:rsidRPr="006D427B">
              <w:rPr>
                <w:sz w:val="16"/>
                <w:szCs w:val="16"/>
              </w:rPr>
              <w:t>CAT</w:t>
            </w:r>
            <w:r w:rsidR="00AA45C8" w:rsidRPr="006D427B">
              <w:rPr>
                <w:sz w:val="16"/>
                <w:szCs w:val="16"/>
              </w:rPr>
              <w:t>-</w:t>
            </w:r>
            <w:r w:rsidRPr="006D427B">
              <w:rPr>
                <w:sz w:val="16"/>
                <w:szCs w:val="16"/>
              </w:rPr>
              <w:t>TCA</w:t>
            </w:r>
            <w:r w:rsidR="00AA45C8" w:rsidRPr="006D427B">
              <w:rPr>
                <w:sz w:val="16"/>
                <w:szCs w:val="16"/>
              </w:rPr>
              <w:t>-</w:t>
            </w:r>
            <w:r w:rsidRPr="006D427B">
              <w:rPr>
                <w:sz w:val="16"/>
                <w:szCs w:val="16"/>
              </w:rPr>
              <w:t>AAA</w:t>
            </w:r>
            <w:r w:rsidR="00AA45C8" w:rsidRPr="006D427B">
              <w:rPr>
                <w:sz w:val="16"/>
                <w:szCs w:val="16"/>
              </w:rPr>
              <w:t>-</w:t>
            </w:r>
            <w:r w:rsidRPr="006D427B">
              <w:rPr>
                <w:sz w:val="16"/>
                <w:szCs w:val="16"/>
              </w:rPr>
              <w:t>GCG</w:t>
            </w:r>
            <w:r w:rsidR="00AA45C8" w:rsidRPr="006D427B">
              <w:rPr>
                <w:sz w:val="16"/>
                <w:szCs w:val="16"/>
              </w:rPr>
              <w:t>-</w:t>
            </w:r>
            <w:r w:rsidRPr="006D427B">
              <w:rPr>
                <w:sz w:val="16"/>
                <w:szCs w:val="16"/>
              </w:rPr>
              <w:t xml:space="preserve">GA; </w:t>
            </w:r>
            <w:r w:rsidR="0093268F" w:rsidRPr="006D427B">
              <w:rPr>
                <w:sz w:val="16"/>
                <w:szCs w:val="16"/>
              </w:rPr>
              <w:br/>
            </w:r>
            <w:r w:rsidRPr="006D427B">
              <w:rPr>
                <w:sz w:val="16"/>
                <w:szCs w:val="16"/>
              </w:rPr>
              <w:t>RA 3-8</w:t>
            </w:r>
            <w:r w:rsidR="00AA45C8" w:rsidRPr="006D427B">
              <w:rPr>
                <w:sz w:val="16"/>
                <w:szCs w:val="16"/>
              </w:rPr>
              <w:t>:</w:t>
            </w:r>
            <w:r w:rsidRPr="006D427B">
              <w:rPr>
                <w:sz w:val="16"/>
                <w:szCs w:val="16"/>
              </w:rPr>
              <w:t xml:space="preserve"> CCA</w:t>
            </w:r>
            <w:r w:rsidR="00AA45C8" w:rsidRPr="006D427B">
              <w:rPr>
                <w:sz w:val="16"/>
                <w:szCs w:val="16"/>
              </w:rPr>
              <w:t>-</w:t>
            </w:r>
            <w:r w:rsidRPr="006D427B">
              <w:rPr>
                <w:sz w:val="16"/>
                <w:szCs w:val="16"/>
              </w:rPr>
              <w:t>CTG</w:t>
            </w:r>
            <w:r w:rsidR="00AA45C8" w:rsidRPr="006D427B">
              <w:rPr>
                <w:sz w:val="16"/>
                <w:szCs w:val="16"/>
              </w:rPr>
              <w:t>-</w:t>
            </w:r>
            <w:r w:rsidRPr="006D427B">
              <w:rPr>
                <w:sz w:val="16"/>
                <w:szCs w:val="16"/>
              </w:rPr>
              <w:t>TGA</w:t>
            </w:r>
            <w:r w:rsidR="00AA45C8" w:rsidRPr="006D427B">
              <w:rPr>
                <w:sz w:val="16"/>
                <w:szCs w:val="16"/>
              </w:rPr>
              <w:t>-</w:t>
            </w:r>
            <w:r w:rsidRPr="006D427B">
              <w:rPr>
                <w:sz w:val="16"/>
                <w:szCs w:val="16"/>
              </w:rPr>
              <w:t>GTG</w:t>
            </w:r>
            <w:r w:rsidR="00AA45C8" w:rsidRPr="006D427B">
              <w:rPr>
                <w:sz w:val="16"/>
                <w:szCs w:val="16"/>
              </w:rPr>
              <w:t>-</w:t>
            </w:r>
            <w:r w:rsidRPr="006D427B">
              <w:rPr>
                <w:sz w:val="16"/>
                <w:szCs w:val="16"/>
              </w:rPr>
              <w:t>GTT</w:t>
            </w:r>
            <w:r w:rsidR="00AA45C8" w:rsidRPr="006D427B">
              <w:rPr>
                <w:sz w:val="16"/>
                <w:szCs w:val="16"/>
              </w:rPr>
              <w:t>-</w:t>
            </w:r>
            <w:r w:rsidRPr="006D427B">
              <w:rPr>
                <w:sz w:val="16"/>
                <w:szCs w:val="16"/>
              </w:rPr>
              <w:t>ATC</w:t>
            </w:r>
            <w:r w:rsidR="00AA45C8" w:rsidRPr="006D427B">
              <w:rPr>
                <w:sz w:val="16"/>
                <w:szCs w:val="16"/>
              </w:rPr>
              <w:t>-</w:t>
            </w:r>
            <w:r w:rsidRPr="006D427B">
              <w:rPr>
                <w:sz w:val="16"/>
                <w:szCs w:val="16"/>
              </w:rPr>
              <w:t>TCC</w:t>
            </w:r>
            <w:r w:rsidR="00AA45C8" w:rsidRPr="006D427B">
              <w:rPr>
                <w:sz w:val="16"/>
                <w:szCs w:val="16"/>
              </w:rPr>
              <w:t>-</w:t>
            </w:r>
            <w:r w:rsidRPr="006D427B">
              <w:rPr>
                <w:sz w:val="16"/>
                <w:szCs w:val="16"/>
              </w:rPr>
              <w:t xml:space="preserve">TG; </w:t>
            </w:r>
            <w:r w:rsidR="0093268F" w:rsidRPr="006D427B">
              <w:rPr>
                <w:sz w:val="16"/>
                <w:szCs w:val="16"/>
              </w:rPr>
              <w:br/>
            </w:r>
            <w:r w:rsidRPr="006D427B">
              <w:rPr>
                <w:sz w:val="16"/>
                <w:szCs w:val="16"/>
              </w:rPr>
              <w:t>RA 5-6</w:t>
            </w:r>
            <w:r w:rsidR="00AA45C8" w:rsidRPr="006D427B">
              <w:rPr>
                <w:sz w:val="16"/>
                <w:szCs w:val="16"/>
              </w:rPr>
              <w:t>:</w:t>
            </w:r>
            <w:r w:rsidRPr="006D427B">
              <w:rPr>
                <w:sz w:val="16"/>
                <w:szCs w:val="16"/>
              </w:rPr>
              <w:t xml:space="preserve"> GAA</w:t>
            </w:r>
            <w:r w:rsidR="00AA45C8" w:rsidRPr="006D427B">
              <w:rPr>
                <w:sz w:val="16"/>
                <w:szCs w:val="16"/>
              </w:rPr>
              <w:t>-</w:t>
            </w:r>
            <w:r w:rsidRPr="006D427B">
              <w:rPr>
                <w:sz w:val="16"/>
                <w:szCs w:val="16"/>
              </w:rPr>
              <w:t>GCA</w:t>
            </w:r>
            <w:r w:rsidR="00AA45C8" w:rsidRPr="006D427B">
              <w:rPr>
                <w:sz w:val="16"/>
                <w:szCs w:val="16"/>
              </w:rPr>
              <w:t>-</w:t>
            </w:r>
            <w:r w:rsidRPr="006D427B">
              <w:rPr>
                <w:sz w:val="16"/>
                <w:szCs w:val="16"/>
              </w:rPr>
              <w:t>ATA</w:t>
            </w:r>
            <w:r w:rsidR="00AA45C8" w:rsidRPr="006D427B">
              <w:rPr>
                <w:sz w:val="16"/>
                <w:szCs w:val="16"/>
              </w:rPr>
              <w:t>-</w:t>
            </w:r>
            <w:r w:rsidRPr="006D427B">
              <w:rPr>
                <w:sz w:val="16"/>
                <w:szCs w:val="16"/>
              </w:rPr>
              <w:t>TTG</w:t>
            </w:r>
            <w:r w:rsidR="00AA45C8" w:rsidRPr="006D427B">
              <w:rPr>
                <w:sz w:val="16"/>
                <w:szCs w:val="16"/>
              </w:rPr>
              <w:t>-</w:t>
            </w:r>
            <w:r w:rsidRPr="006D427B">
              <w:rPr>
                <w:sz w:val="16"/>
                <w:szCs w:val="16"/>
              </w:rPr>
              <w:t>TGA</w:t>
            </w:r>
            <w:r w:rsidR="00AA45C8" w:rsidRPr="006D427B">
              <w:rPr>
                <w:sz w:val="16"/>
                <w:szCs w:val="16"/>
              </w:rPr>
              <w:t>-</w:t>
            </w:r>
            <w:r w:rsidRPr="006D427B">
              <w:rPr>
                <w:sz w:val="16"/>
                <w:szCs w:val="16"/>
              </w:rPr>
              <w:t>GAT</w:t>
            </w:r>
            <w:r w:rsidR="00AA45C8" w:rsidRPr="006D427B">
              <w:rPr>
                <w:sz w:val="16"/>
                <w:szCs w:val="16"/>
              </w:rPr>
              <w:t>-</w:t>
            </w:r>
            <w:r w:rsidRPr="006D427B">
              <w:rPr>
                <w:sz w:val="16"/>
                <w:szCs w:val="16"/>
              </w:rPr>
              <w:t>AAA</w:t>
            </w:r>
            <w:r w:rsidR="00AA45C8" w:rsidRPr="006D427B">
              <w:rPr>
                <w:sz w:val="16"/>
                <w:szCs w:val="16"/>
              </w:rPr>
              <w:t>-</w:t>
            </w:r>
            <w:r w:rsidRPr="006D427B">
              <w:rPr>
                <w:sz w:val="16"/>
                <w:szCs w:val="16"/>
              </w:rPr>
              <w:t>GCA.</w:t>
            </w:r>
          </w:p>
        </w:tc>
        <w:tc>
          <w:tcPr>
            <w:tcW w:w="992" w:type="dxa"/>
          </w:tcPr>
          <w:p w14:paraId="5CA6B25D" w14:textId="318CF88D" w:rsidR="00F854B6" w:rsidRPr="006D427B" w:rsidRDefault="001D6ADC" w:rsidP="0027179C">
            <w:pPr>
              <w:pStyle w:val="Para2"/>
              <w:spacing w:before="120" w:after="120"/>
              <w:ind w:left="0"/>
              <w:jc w:val="center"/>
              <w:rPr>
                <w:sz w:val="16"/>
                <w:szCs w:val="16"/>
              </w:rPr>
            </w:pPr>
            <w:r w:rsidRPr="006D427B">
              <w:rPr>
                <w:sz w:val="16"/>
                <w:szCs w:val="16"/>
              </w:rPr>
              <w:t>oligo nucleotide probes</w:t>
            </w:r>
          </w:p>
        </w:tc>
      </w:tr>
    </w:tbl>
    <w:p w14:paraId="55B1D0E3" w14:textId="77777777" w:rsidR="00BC4790" w:rsidRPr="006D427B" w:rsidRDefault="00BC4790" w:rsidP="00DC7DB6">
      <w:pPr>
        <w:pStyle w:val="110"/>
        <w:spacing w:before="240"/>
      </w:pPr>
      <w:bookmarkStart w:id="25" w:name="_Hlk34054765"/>
      <w:bookmarkStart w:id="26" w:name="_Hlk83113198"/>
      <w:r w:rsidRPr="006D427B">
        <w:t>4.7.</w:t>
      </w:r>
      <w:r w:rsidRPr="006D427B">
        <w:tab/>
        <w:t>Immunohistochemistry</w:t>
      </w:r>
    </w:p>
    <w:bookmarkEnd w:id="25"/>
    <w:p w14:paraId="21A78888" w14:textId="0854EA44" w:rsidR="00BC4790" w:rsidRPr="006D427B" w:rsidRDefault="000D1A95" w:rsidP="00BC4790">
      <w:pPr>
        <w:pStyle w:val="Para2"/>
      </w:pPr>
      <w:r w:rsidRPr="006D427B">
        <w:rPr>
          <w:rFonts w:cs="Arial"/>
        </w:rPr>
        <w:t>Not applicable.</w:t>
      </w:r>
    </w:p>
    <w:bookmarkEnd w:id="26"/>
    <w:p w14:paraId="332D8ABF" w14:textId="77777777" w:rsidR="00BC4790" w:rsidRPr="006D427B" w:rsidRDefault="00BC4790" w:rsidP="00BC4790">
      <w:pPr>
        <w:pStyle w:val="110"/>
      </w:pPr>
      <w:r w:rsidRPr="006D427B">
        <w:t>4.8.</w:t>
      </w:r>
      <w:r w:rsidRPr="006D427B">
        <w:tab/>
        <w:t>Bioassay</w:t>
      </w:r>
    </w:p>
    <w:p w14:paraId="753083D8" w14:textId="7BF3F00D" w:rsidR="00BC4790" w:rsidRPr="006D427B" w:rsidRDefault="000D1A95" w:rsidP="00BC4790">
      <w:pPr>
        <w:pStyle w:val="Para2"/>
      </w:pPr>
      <w:r w:rsidRPr="006D427B">
        <w:rPr>
          <w:rFonts w:cs="Arial"/>
        </w:rPr>
        <w:t>Not applicable.</w:t>
      </w:r>
    </w:p>
    <w:p w14:paraId="613EFA17" w14:textId="77777777" w:rsidR="00BC4790" w:rsidRPr="006D427B" w:rsidRDefault="00BC4790" w:rsidP="00BC4790">
      <w:pPr>
        <w:pStyle w:val="110"/>
        <w:ind w:left="426" w:hanging="426"/>
        <w:rPr>
          <w:szCs w:val="21"/>
          <w:lang w:bidi="en-US"/>
        </w:rPr>
      </w:pPr>
      <w:bookmarkStart w:id="27" w:name="_Hlk34054791"/>
      <w:r w:rsidRPr="006D427B">
        <w:rPr>
          <w:szCs w:val="21"/>
          <w:lang w:bidi="en-US"/>
        </w:rPr>
        <w:t>4.9.</w:t>
      </w:r>
      <w:r w:rsidRPr="006D427B">
        <w:rPr>
          <w:szCs w:val="21"/>
          <w:lang w:bidi="en-US"/>
        </w:rPr>
        <w:tab/>
        <w:t>Antibody</w:t>
      </w:r>
      <w:r w:rsidRPr="006D427B">
        <w:rPr>
          <w:strike/>
          <w:szCs w:val="21"/>
          <w:lang w:bidi="en-US"/>
        </w:rPr>
        <w:t>-</w:t>
      </w:r>
      <w:r w:rsidRPr="006D427B">
        <w:rPr>
          <w:szCs w:val="21"/>
          <w:lang w:bidi="en-US"/>
        </w:rPr>
        <w:t xml:space="preserve"> or antigen-based detection methods (ELISA, etc.)</w:t>
      </w:r>
    </w:p>
    <w:p w14:paraId="480D31AD" w14:textId="087E9767" w:rsidR="00BC4790" w:rsidRPr="006D427B" w:rsidRDefault="000D1A95" w:rsidP="00BC4790">
      <w:pPr>
        <w:pStyle w:val="Para2"/>
      </w:pPr>
      <w:r w:rsidRPr="006D427B">
        <w:rPr>
          <w:rFonts w:cs="Arial"/>
        </w:rPr>
        <w:t>Not applicable.</w:t>
      </w:r>
    </w:p>
    <w:p w14:paraId="3D379436" w14:textId="77777777" w:rsidR="00BC4790" w:rsidRPr="006D427B" w:rsidRDefault="00BC4790" w:rsidP="00BC4790">
      <w:pPr>
        <w:pStyle w:val="110"/>
      </w:pPr>
      <w:r w:rsidRPr="006D427B">
        <w:rPr>
          <w:szCs w:val="18"/>
        </w:rPr>
        <w:t>4.10.</w:t>
      </w:r>
      <w:r w:rsidRPr="006D427B">
        <w:tab/>
        <w:t>Other methods</w:t>
      </w:r>
    </w:p>
    <w:p w14:paraId="183DB7B5" w14:textId="15EB0E65" w:rsidR="00BC4790" w:rsidRPr="006D427B" w:rsidRDefault="004515A1" w:rsidP="00BC4790">
      <w:pPr>
        <w:pStyle w:val="Para2"/>
      </w:pPr>
      <w:r w:rsidRPr="006D427B">
        <w:rPr>
          <w:rFonts w:cs="Arial"/>
        </w:rPr>
        <w:t>Not applicable.</w:t>
      </w:r>
    </w:p>
    <w:bookmarkEnd w:id="27"/>
    <w:p w14:paraId="12BD574D" w14:textId="77777777" w:rsidR="00BC4790" w:rsidRPr="006D427B" w:rsidRDefault="00BC4790" w:rsidP="00F30043">
      <w:pPr>
        <w:pStyle w:val="10"/>
        <w:rPr>
          <w:lang w:val="en-IE"/>
        </w:rPr>
      </w:pPr>
      <w:r w:rsidRPr="006D427B">
        <w:rPr>
          <w:lang w:val="en-IE"/>
        </w:rPr>
        <w:t>5.</w:t>
      </w:r>
      <w:r w:rsidRPr="006D427B">
        <w:rPr>
          <w:lang w:val="en-IE"/>
        </w:rPr>
        <w:tab/>
        <w:t>Test(s) recommended for surveillance to demonstrate freedom in apparently healthy populations</w:t>
      </w:r>
    </w:p>
    <w:p w14:paraId="04CACF76" w14:textId="78DC378C" w:rsidR="00BC4790" w:rsidRPr="006D427B" w:rsidRDefault="00BE2986" w:rsidP="00BC4790">
      <w:pPr>
        <w:pStyle w:val="Para1"/>
      </w:pPr>
      <w:r w:rsidRPr="006D427B">
        <w:rPr>
          <w:rFonts w:cs="Arial"/>
        </w:rPr>
        <w:t>The recommended method for surveillance is real-time PCR using the assay by</w:t>
      </w:r>
      <w:r w:rsidR="00423BA0" w:rsidRPr="006D427B">
        <w:t xml:space="preserve"> </w:t>
      </w:r>
      <w:r w:rsidRPr="006D427B">
        <w:rPr>
          <w:rFonts w:cs="Arial"/>
        </w:rPr>
        <w:t xml:space="preserve">Friedman </w:t>
      </w:r>
      <w:r w:rsidRPr="006D427B">
        <w:rPr>
          <w:rFonts w:cs="Arial"/>
          <w:i/>
          <w:iCs/>
        </w:rPr>
        <w:t>et al</w:t>
      </w:r>
      <w:r w:rsidR="00423BA0" w:rsidRPr="006D427B">
        <w:rPr>
          <w:rFonts w:cs="Arial"/>
          <w:i/>
          <w:iCs/>
        </w:rPr>
        <w:t>.</w:t>
      </w:r>
      <w:r w:rsidRPr="006D427B">
        <w:rPr>
          <w:rFonts w:cs="Arial"/>
        </w:rPr>
        <w:t xml:space="preserve"> (2014)</w:t>
      </w:r>
      <w:r w:rsidR="006B2A50" w:rsidRPr="006D427B">
        <w:rPr>
          <w:rFonts w:cs="Arial"/>
        </w:rPr>
        <w:t>.</w:t>
      </w:r>
    </w:p>
    <w:p w14:paraId="738594F7" w14:textId="77777777" w:rsidR="00BC4790" w:rsidRPr="006D427B" w:rsidRDefault="00BC4790" w:rsidP="00BC4790">
      <w:pPr>
        <w:pStyle w:val="10"/>
        <w:rPr>
          <w:lang w:val="en-GB"/>
        </w:rPr>
      </w:pPr>
      <w:bookmarkStart w:id="28" w:name="_Hlk114644186"/>
      <w:r w:rsidRPr="006D427B">
        <w:rPr>
          <w:lang w:val="en-GB"/>
        </w:rPr>
        <w:t>6.</w:t>
      </w:r>
      <w:r w:rsidRPr="006D427B">
        <w:rPr>
          <w:lang w:val="en-GB"/>
        </w:rPr>
        <w:tab/>
        <w:t>Corroborative diagnostic criteria</w:t>
      </w:r>
    </w:p>
    <w:p w14:paraId="1B83352E" w14:textId="77777777" w:rsidR="00BC4790" w:rsidRPr="006D427B" w:rsidRDefault="00BC4790" w:rsidP="00BC4790">
      <w:pPr>
        <w:pStyle w:val="Para1"/>
        <w:rPr>
          <w:rFonts w:cs="Arial"/>
        </w:rPr>
      </w:pPr>
      <w:r w:rsidRPr="006D427B">
        <w:rPr>
          <w:rFonts w:cs="Arial"/>
        </w:rPr>
        <w:t>This section only addresses the diagnostic test results for detection of infection in the absence (Section 6.1.) or in the presence of clinical signs (Section 6.2.) but does not evaluate whether the infectious agent is the cause of the clinical event.</w:t>
      </w:r>
    </w:p>
    <w:p w14:paraId="139BD897" w14:textId="7F94E690" w:rsidR="00BC4790" w:rsidRPr="006D427B" w:rsidRDefault="00BC4790" w:rsidP="00BC4790">
      <w:pPr>
        <w:pStyle w:val="Para1"/>
        <w:rPr>
          <w:rFonts w:cs="Arial"/>
          <w:szCs w:val="18"/>
        </w:rPr>
      </w:pPr>
      <w:r w:rsidRPr="006D427B">
        <w:rPr>
          <w:rFonts w:cs="Arial"/>
          <w:szCs w:val="18"/>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6D427B">
        <w:rPr>
          <w:rFonts w:cs="Arial"/>
        </w:rPr>
        <w:t xml:space="preserve">If a </w:t>
      </w:r>
      <w:r w:rsidR="00600DE3" w:rsidRPr="006D427B">
        <w:rPr>
          <w:rFonts w:cs="Arial"/>
        </w:rPr>
        <w:t xml:space="preserve">Competent Authority </w:t>
      </w:r>
      <w:r w:rsidRPr="006D427B">
        <w:rPr>
          <w:rFonts w:cs="Arial"/>
        </w:rPr>
        <w:t xml:space="preserve">does not have the </w:t>
      </w:r>
      <w:r w:rsidR="00600DE3" w:rsidRPr="006D427B">
        <w:rPr>
          <w:rFonts w:cs="Arial"/>
        </w:rPr>
        <w:t>capability</w:t>
      </w:r>
      <w:r w:rsidRPr="006D427B">
        <w:rPr>
          <w:rFonts w:cs="Arial"/>
        </w:rPr>
        <w:t xml:space="preserve"> to undertake the </w:t>
      </w:r>
      <w:r w:rsidRPr="006D427B">
        <w:rPr>
          <w:rFonts w:cs="Arial"/>
        </w:rPr>
        <w:lastRenderedPageBreak/>
        <w:t xml:space="preserve">necessary diagnostic tests it should seek advice from the appropriate </w:t>
      </w:r>
      <w:r w:rsidR="009030A4" w:rsidRPr="006D427B">
        <w:rPr>
          <w:rFonts w:cs="Arial"/>
        </w:rPr>
        <w:t>WOAH</w:t>
      </w:r>
      <w:r w:rsidRPr="006D427B">
        <w:rPr>
          <w:rFonts w:cs="Arial"/>
        </w:rPr>
        <w:t xml:space="preserve"> Reference Laboratory</w:t>
      </w:r>
      <w:r w:rsidR="00890FB8" w:rsidRPr="006D427B">
        <w:t xml:space="preserve">, </w:t>
      </w:r>
      <w:r w:rsidR="00890FB8" w:rsidRPr="006D427B">
        <w:rPr>
          <w:bCs/>
          <w:szCs w:val="18"/>
        </w:rPr>
        <w:t xml:space="preserve">and if necessary, refer samples to that laboratory for </w:t>
      </w:r>
      <w:r w:rsidR="00600DE3" w:rsidRPr="006D427B">
        <w:rPr>
          <w:szCs w:val="18"/>
        </w:rPr>
        <w:t xml:space="preserve">confirmatory </w:t>
      </w:r>
      <w:r w:rsidR="00890FB8" w:rsidRPr="006D427B">
        <w:rPr>
          <w:bCs/>
          <w:szCs w:val="18"/>
        </w:rPr>
        <w:t>testing</w:t>
      </w:r>
      <w:r w:rsidR="00600DE3" w:rsidRPr="006D427B">
        <w:rPr>
          <w:bCs/>
          <w:szCs w:val="18"/>
        </w:rPr>
        <w:t xml:space="preserve"> </w:t>
      </w:r>
      <w:bookmarkStart w:id="29" w:name="_Hlk127887601"/>
      <w:r w:rsidR="00600DE3" w:rsidRPr="006D427B">
        <w:rPr>
          <w:szCs w:val="18"/>
        </w:rPr>
        <w:t>of samples from the index case in a country</w:t>
      </w:r>
      <w:r w:rsidR="00691D5F" w:rsidRPr="006D427B">
        <w:rPr>
          <w:szCs w:val="18"/>
        </w:rPr>
        <w:t>,</w:t>
      </w:r>
      <w:r w:rsidR="00600DE3" w:rsidRPr="006D427B">
        <w:rPr>
          <w:szCs w:val="18"/>
        </w:rPr>
        <w:t xml:space="preserve"> zone or compartment considered free</w:t>
      </w:r>
      <w:r w:rsidRPr="006D427B">
        <w:rPr>
          <w:rFonts w:cs="Arial"/>
        </w:rPr>
        <w:t>.</w:t>
      </w:r>
      <w:bookmarkEnd w:id="29"/>
      <w:r w:rsidR="003B2215" w:rsidRPr="006D427B">
        <w:rPr>
          <w:rFonts w:cs="Arial"/>
        </w:rPr>
        <w:t xml:space="preserve"> </w:t>
      </w:r>
      <w:r w:rsidR="006B580D" w:rsidRPr="006D427B">
        <w:rPr>
          <w:rFonts w:cs="Arial"/>
        </w:rPr>
        <w:t>There are currently no WOAH Reference Laborator</w:t>
      </w:r>
      <w:r w:rsidR="00CB3165" w:rsidRPr="006D427B">
        <w:rPr>
          <w:rFonts w:cs="Arial"/>
        </w:rPr>
        <w:t>ies</w:t>
      </w:r>
      <w:r w:rsidR="006B580D" w:rsidRPr="006D427B">
        <w:rPr>
          <w:rFonts w:cs="Arial"/>
        </w:rPr>
        <w:t xml:space="preserve"> for </w:t>
      </w:r>
      <w:r w:rsidR="006B580D" w:rsidRPr="006D427B">
        <w:rPr>
          <w:rFonts w:cs="Arial"/>
          <w:i/>
          <w:iCs/>
        </w:rPr>
        <w:t>Xenohaliotis californiensis</w:t>
      </w:r>
      <w:r w:rsidR="006B580D" w:rsidRPr="006D427B">
        <w:rPr>
          <w:rFonts w:cs="Arial"/>
        </w:rPr>
        <w:t>.</w:t>
      </w:r>
    </w:p>
    <w:p w14:paraId="5CD0D924" w14:textId="77777777" w:rsidR="00BC4790" w:rsidRPr="006D427B" w:rsidRDefault="00BC4790" w:rsidP="00BC4790">
      <w:pPr>
        <w:pStyle w:val="110"/>
      </w:pPr>
      <w:r w:rsidRPr="006D427B">
        <w:rPr>
          <w:lang w:val="en-IE"/>
        </w:rPr>
        <w:t>6</w:t>
      </w:r>
      <w:r w:rsidRPr="006D427B">
        <w:t>.1.</w:t>
      </w:r>
      <w:r w:rsidRPr="006D427B">
        <w:tab/>
        <w:t>Apparently healthy animals or animals of unknown health</w:t>
      </w:r>
      <w:r w:rsidRPr="006D427B">
        <w:rPr>
          <w:lang w:val="en-IE"/>
        </w:rPr>
        <w:t xml:space="preserve"> status</w:t>
      </w:r>
      <w:r w:rsidRPr="006D427B">
        <w:rPr>
          <w:rStyle w:val="FootnoteReference"/>
          <w:rFonts w:cs="Arial"/>
          <w:sz w:val="18"/>
          <w:szCs w:val="18"/>
        </w:rPr>
        <w:footnoteReference w:id="2"/>
      </w:r>
    </w:p>
    <w:p w14:paraId="5327346F" w14:textId="31B9148B" w:rsidR="00BC4790" w:rsidRPr="006D427B" w:rsidRDefault="00BC4790" w:rsidP="00BC4790">
      <w:pPr>
        <w:pStyle w:val="Para2"/>
        <w:rPr>
          <w:rFonts w:cs="Arial"/>
        </w:rPr>
      </w:pPr>
      <w:bookmarkStart w:id="30" w:name="_Hlk96430616"/>
      <w:r w:rsidRPr="006D427B">
        <w:rPr>
          <w:rFonts w:cs="Arial"/>
        </w:rPr>
        <w:t xml:space="preserve">Apparently healthy populations may fall under suspicion, and therefore be sampled, if there is an epidemiological link(s) to an infected population. </w:t>
      </w:r>
      <w:bookmarkStart w:id="31" w:name="_Hlk114497138"/>
      <w:r w:rsidR="001A52BD" w:rsidRPr="006D427B">
        <w:t>Hydro</w:t>
      </w:r>
      <w:r w:rsidRPr="006D427B">
        <w:t xml:space="preserve">graphical </w:t>
      </w:r>
      <w:bookmarkEnd w:id="31"/>
      <w:r w:rsidRPr="006D427B">
        <w:t xml:space="preserve">proximity to, or movement of animals or animal products or equipment, etc., from a known infected population equate to an epidemiological link. Alternatively, healthy populations are sampled in surveys to demonstrate disease freedom. </w:t>
      </w:r>
    </w:p>
    <w:bookmarkEnd w:id="28"/>
    <w:bookmarkEnd w:id="30"/>
    <w:p w14:paraId="221377EB" w14:textId="77777777" w:rsidR="00BC4790" w:rsidRPr="006D427B" w:rsidRDefault="00BC4790" w:rsidP="00BC4790">
      <w:pPr>
        <w:pStyle w:val="1110"/>
      </w:pPr>
      <w:r w:rsidRPr="006D427B">
        <w:t>6.1.1.</w:t>
      </w:r>
      <w:r w:rsidRPr="006D427B">
        <w:tab/>
        <w:t>Definition of suspect case in apparently healthy animals</w:t>
      </w:r>
    </w:p>
    <w:p w14:paraId="03912F32" w14:textId="026B6517" w:rsidR="00BC4790" w:rsidRPr="006D427B" w:rsidRDefault="00BC4790" w:rsidP="00BC4790">
      <w:pPr>
        <w:pStyle w:val="Para3"/>
        <w:spacing w:after="120"/>
      </w:pPr>
      <w:bookmarkStart w:id="32" w:name="_Hlk83113255"/>
      <w:r w:rsidRPr="006D427B">
        <w:t xml:space="preserve">The presence of infection with </w:t>
      </w:r>
      <w:r w:rsidR="00934B71" w:rsidRPr="006D427B">
        <w:rPr>
          <w:i/>
          <w:iCs/>
        </w:rPr>
        <w:t>X</w:t>
      </w:r>
      <w:r w:rsidR="0033318B" w:rsidRPr="006D427B">
        <w:rPr>
          <w:i/>
          <w:iCs/>
        </w:rPr>
        <w:t>.</w:t>
      </w:r>
      <w:r w:rsidR="00934B71" w:rsidRPr="006D427B">
        <w:rPr>
          <w:i/>
          <w:iCs/>
        </w:rPr>
        <w:t xml:space="preserve"> californiensis</w:t>
      </w:r>
      <w:r w:rsidRPr="006D427B">
        <w:t xml:space="preserve"> shall be suspected if at least one of the following criteria is met:</w:t>
      </w:r>
    </w:p>
    <w:bookmarkEnd w:id="32"/>
    <w:p w14:paraId="5117AD3A" w14:textId="3E908DF6" w:rsidR="00BC4790" w:rsidRPr="006D427B" w:rsidRDefault="00BC4790" w:rsidP="00F30043">
      <w:pPr>
        <w:pStyle w:val="Para3i"/>
      </w:pPr>
      <w:r w:rsidRPr="006D427B">
        <w:t>i)</w:t>
      </w:r>
      <w:r w:rsidRPr="006D427B">
        <w:tab/>
        <w:t xml:space="preserve">Histopathological changes consistent with the presence of the pathogen or the disease </w:t>
      </w:r>
    </w:p>
    <w:p w14:paraId="145D7D63" w14:textId="422D9753" w:rsidR="00BC4790" w:rsidRPr="006D427B" w:rsidRDefault="00BC4790" w:rsidP="00F30043">
      <w:pPr>
        <w:pStyle w:val="Para3i"/>
      </w:pPr>
      <w:r w:rsidRPr="006D427B">
        <w:t>ii)</w:t>
      </w:r>
      <w:r w:rsidRPr="006D427B">
        <w:tab/>
      </w:r>
      <w:r w:rsidR="005A230C" w:rsidRPr="006D427B">
        <w:t>Positive result by conventional PCR</w:t>
      </w:r>
    </w:p>
    <w:p w14:paraId="09B8E2B2" w14:textId="14BE3690" w:rsidR="005A230C" w:rsidRPr="006D427B" w:rsidRDefault="005A230C" w:rsidP="00185F7E">
      <w:pPr>
        <w:pStyle w:val="Para3i"/>
        <w:spacing w:after="240"/>
      </w:pPr>
      <w:r w:rsidRPr="006D427B">
        <w:t>iii)</w:t>
      </w:r>
      <w:r w:rsidRPr="006D427B">
        <w:tab/>
        <w:t>Positive result by real-time PCR</w:t>
      </w:r>
    </w:p>
    <w:p w14:paraId="6B03A860" w14:textId="77777777" w:rsidR="00BC4790" w:rsidRPr="006D427B" w:rsidRDefault="00BC4790" w:rsidP="00BC4790">
      <w:pPr>
        <w:pStyle w:val="1110"/>
      </w:pPr>
      <w:r w:rsidRPr="006D427B">
        <w:t>6.1.2.</w:t>
      </w:r>
      <w:r w:rsidRPr="006D427B">
        <w:tab/>
        <w:t>Definition of confirmed case in apparently healthy animals</w:t>
      </w:r>
    </w:p>
    <w:p w14:paraId="15BB4EAB" w14:textId="600C9F52" w:rsidR="00BC4790" w:rsidRPr="006D427B" w:rsidRDefault="00BC4790" w:rsidP="00BC4790">
      <w:pPr>
        <w:pStyle w:val="Para3"/>
        <w:spacing w:after="120"/>
      </w:pPr>
      <w:bookmarkStart w:id="33" w:name="_Hlk34064823"/>
      <w:bookmarkStart w:id="34" w:name="_Hlk57044932"/>
      <w:bookmarkStart w:id="35" w:name="_Hlk34056412"/>
      <w:r w:rsidRPr="006D427B">
        <w:t xml:space="preserve">The presence of infection with </w:t>
      </w:r>
      <w:r w:rsidR="005A230C" w:rsidRPr="006D427B">
        <w:rPr>
          <w:i/>
          <w:iCs/>
        </w:rPr>
        <w:t>X</w:t>
      </w:r>
      <w:r w:rsidR="0033318B" w:rsidRPr="006D427B">
        <w:rPr>
          <w:i/>
          <w:iCs/>
        </w:rPr>
        <w:t>.</w:t>
      </w:r>
      <w:r w:rsidR="005A230C" w:rsidRPr="006D427B">
        <w:rPr>
          <w:i/>
          <w:iCs/>
        </w:rPr>
        <w:t xml:space="preserve"> californiensis</w:t>
      </w:r>
      <w:r w:rsidR="005A230C" w:rsidRPr="006D427B">
        <w:t xml:space="preserve"> </w:t>
      </w:r>
      <w:proofErr w:type="gramStart"/>
      <w:r w:rsidRPr="006D427B">
        <w:t>is considered to be</w:t>
      </w:r>
      <w:proofErr w:type="gramEnd"/>
      <w:r w:rsidRPr="006D427B">
        <w:t xml:space="preserve"> confirmed if at least one of the following criteria is met:</w:t>
      </w:r>
    </w:p>
    <w:bookmarkEnd w:id="33"/>
    <w:p w14:paraId="4DC5B01D" w14:textId="0F7C2DFC" w:rsidR="00BC4790" w:rsidRPr="006D427B" w:rsidRDefault="00C458D5" w:rsidP="00C458D5">
      <w:pPr>
        <w:pStyle w:val="Para3i"/>
      </w:pPr>
      <w:r w:rsidRPr="006D427B">
        <w:t>i)</w:t>
      </w:r>
      <w:r w:rsidRPr="006D427B">
        <w:tab/>
      </w:r>
      <w:r w:rsidR="005A230C" w:rsidRPr="006D427B">
        <w:t>Positive result by real-time PCR and positive result by conventional PCR followed by amplicon sequencing</w:t>
      </w:r>
    </w:p>
    <w:p w14:paraId="49DA2506" w14:textId="52251972" w:rsidR="005A230C" w:rsidRPr="006D427B" w:rsidRDefault="00C458D5" w:rsidP="00C458D5">
      <w:pPr>
        <w:pStyle w:val="Para3i"/>
      </w:pPr>
      <w:r w:rsidRPr="006D427B">
        <w:t>ii)</w:t>
      </w:r>
      <w:r w:rsidRPr="006D427B">
        <w:tab/>
      </w:r>
      <w:r w:rsidR="005A230C" w:rsidRPr="006D427B">
        <w:t xml:space="preserve">Positive result by </w:t>
      </w:r>
      <w:r w:rsidR="006767B2" w:rsidRPr="006D427B">
        <w:rPr>
          <w:i/>
          <w:iCs/>
        </w:rPr>
        <w:t>i</w:t>
      </w:r>
      <w:r w:rsidR="005A230C" w:rsidRPr="006D427B">
        <w:rPr>
          <w:i/>
          <w:iCs/>
        </w:rPr>
        <w:t>n</w:t>
      </w:r>
      <w:r w:rsidR="004F29A9" w:rsidRPr="006D427B">
        <w:rPr>
          <w:i/>
          <w:iCs/>
        </w:rPr>
        <w:t>-</w:t>
      </w:r>
      <w:r w:rsidR="005A230C" w:rsidRPr="006D427B">
        <w:rPr>
          <w:i/>
          <w:iCs/>
        </w:rPr>
        <w:t>situ</w:t>
      </w:r>
      <w:r w:rsidR="005A230C" w:rsidRPr="006D427B">
        <w:t xml:space="preserve"> hybridisation and positive result by conventional PCR followed by amplicon sequencing</w:t>
      </w:r>
    </w:p>
    <w:p w14:paraId="44B5A98E" w14:textId="70E9B25C" w:rsidR="005A230C" w:rsidRPr="006D427B" w:rsidRDefault="00C458D5" w:rsidP="00C458D5">
      <w:pPr>
        <w:pStyle w:val="Para3i"/>
        <w:spacing w:after="240"/>
      </w:pPr>
      <w:r w:rsidRPr="006D427B">
        <w:t>iii)</w:t>
      </w:r>
      <w:r w:rsidRPr="006D427B">
        <w:tab/>
      </w:r>
      <w:r w:rsidR="005A230C" w:rsidRPr="006D427B">
        <w:t xml:space="preserve">Positive result by </w:t>
      </w:r>
      <w:r w:rsidR="004F29A9" w:rsidRPr="006D427B">
        <w:rPr>
          <w:i/>
          <w:iCs/>
        </w:rPr>
        <w:t>in</w:t>
      </w:r>
      <w:r w:rsidR="005A230C" w:rsidRPr="006D427B">
        <w:rPr>
          <w:i/>
          <w:iCs/>
        </w:rPr>
        <w:t>-situ</w:t>
      </w:r>
      <w:r w:rsidR="005A230C" w:rsidRPr="006D427B">
        <w:t xml:space="preserve"> hybridisation and positive result by real-time PCR</w:t>
      </w:r>
    </w:p>
    <w:bookmarkEnd w:id="34"/>
    <w:bookmarkEnd w:id="35"/>
    <w:p w14:paraId="5451A77D" w14:textId="51E2B35E" w:rsidR="00BC4790" w:rsidRPr="006D427B" w:rsidRDefault="00BC4790" w:rsidP="00BC4790">
      <w:pPr>
        <w:pStyle w:val="110"/>
      </w:pPr>
      <w:r w:rsidRPr="006D427B">
        <w:t>6.2</w:t>
      </w:r>
      <w:r w:rsidRPr="006D427B">
        <w:tab/>
        <w:t>Clinically affected animals</w:t>
      </w:r>
    </w:p>
    <w:p w14:paraId="5B93553A" w14:textId="6A171746" w:rsidR="00BC4790" w:rsidRPr="006D427B" w:rsidRDefault="00BC4790" w:rsidP="00BC4790">
      <w:pPr>
        <w:pStyle w:val="Para2"/>
      </w:pPr>
      <w:r w:rsidRPr="006D427B">
        <w:t xml:space="preserve">Clinical signs are not pathognomonic for a single disease; </w:t>
      </w:r>
      <w:proofErr w:type="gramStart"/>
      <w:r w:rsidRPr="006D427B">
        <w:t>however</w:t>
      </w:r>
      <w:proofErr w:type="gramEnd"/>
      <w:r w:rsidRPr="006D427B">
        <w:t xml:space="preserve"> they may narrow the range of possible diagnoses. </w:t>
      </w:r>
    </w:p>
    <w:p w14:paraId="3E3984B6" w14:textId="10616433" w:rsidR="00BC4790" w:rsidRPr="006D427B" w:rsidRDefault="00BC4790" w:rsidP="00BC4790">
      <w:pPr>
        <w:pStyle w:val="1110"/>
      </w:pPr>
      <w:r w:rsidRPr="006D427B">
        <w:t>6.2.1.</w:t>
      </w:r>
      <w:r w:rsidR="007425EF" w:rsidRPr="006D427B">
        <w:tab/>
      </w:r>
      <w:r w:rsidRPr="006D427B">
        <w:t>Definition of suspect case in clinically affected animals</w:t>
      </w:r>
    </w:p>
    <w:p w14:paraId="3A7735A0" w14:textId="0B87F75F" w:rsidR="00BC4790" w:rsidRPr="006D427B" w:rsidRDefault="00BC4790" w:rsidP="00BC4790">
      <w:pPr>
        <w:pStyle w:val="Para3"/>
        <w:spacing w:after="120"/>
      </w:pPr>
      <w:bookmarkStart w:id="36" w:name="_Hlk83113292"/>
      <w:bookmarkStart w:id="37" w:name="_Hlk34064959"/>
      <w:r w:rsidRPr="006D427B">
        <w:t xml:space="preserve">The presence of infection with </w:t>
      </w:r>
      <w:r w:rsidR="00DE7936" w:rsidRPr="006D427B">
        <w:rPr>
          <w:i/>
          <w:iCs/>
        </w:rPr>
        <w:t>X</w:t>
      </w:r>
      <w:r w:rsidR="0033318B" w:rsidRPr="006D427B">
        <w:rPr>
          <w:i/>
          <w:iCs/>
        </w:rPr>
        <w:t>.</w:t>
      </w:r>
      <w:r w:rsidR="00DE7936" w:rsidRPr="006D427B">
        <w:rPr>
          <w:i/>
          <w:iCs/>
        </w:rPr>
        <w:t xml:space="preserve"> californiensis</w:t>
      </w:r>
      <w:r w:rsidR="00DE7936" w:rsidRPr="006D427B">
        <w:t xml:space="preserve"> </w:t>
      </w:r>
      <w:r w:rsidRPr="006D427B">
        <w:t>shall be suspected if at least one of the following criteria is met:</w:t>
      </w:r>
    </w:p>
    <w:bookmarkEnd w:id="36"/>
    <w:bookmarkEnd w:id="37"/>
    <w:p w14:paraId="1629EC54" w14:textId="370EE386" w:rsidR="00E5072F" w:rsidRPr="006D427B" w:rsidRDefault="00C458D5" w:rsidP="00C458D5">
      <w:pPr>
        <w:pStyle w:val="Para3i"/>
      </w:pPr>
      <w:r w:rsidRPr="006D427B">
        <w:t>i)</w:t>
      </w:r>
      <w:r w:rsidRPr="006D427B">
        <w:tab/>
      </w:r>
      <w:r w:rsidR="00E5072F" w:rsidRPr="006D427B">
        <w:t xml:space="preserve">Histopathological changes consistent with the presence of the pathogen or the disease </w:t>
      </w:r>
    </w:p>
    <w:p w14:paraId="20E488EE" w14:textId="1B0890DD" w:rsidR="00E5072F" w:rsidRPr="006D427B" w:rsidRDefault="00C458D5" w:rsidP="00C458D5">
      <w:pPr>
        <w:pStyle w:val="Para3i"/>
      </w:pPr>
      <w:r w:rsidRPr="006D427B">
        <w:t>ii)</w:t>
      </w:r>
      <w:r w:rsidRPr="006D427B">
        <w:tab/>
      </w:r>
      <w:r w:rsidR="00E5072F" w:rsidRPr="006D427B">
        <w:t xml:space="preserve">Positive result by </w:t>
      </w:r>
      <w:r w:rsidRPr="006D427B">
        <w:rPr>
          <w:i/>
          <w:iCs/>
        </w:rPr>
        <w:t>in-situ</w:t>
      </w:r>
      <w:r w:rsidRPr="006D427B">
        <w:t xml:space="preserve"> </w:t>
      </w:r>
      <w:r w:rsidR="00E5072F" w:rsidRPr="006D427B">
        <w:t>hybridisation</w:t>
      </w:r>
    </w:p>
    <w:p w14:paraId="63258939" w14:textId="2D242F46" w:rsidR="00E5072F" w:rsidRPr="006D427B" w:rsidRDefault="00C458D5" w:rsidP="00C458D5">
      <w:pPr>
        <w:pStyle w:val="Para3i"/>
      </w:pPr>
      <w:r w:rsidRPr="006D427B">
        <w:t>iii)</w:t>
      </w:r>
      <w:r w:rsidRPr="006D427B">
        <w:tab/>
      </w:r>
      <w:r w:rsidR="00E5072F" w:rsidRPr="006D427B">
        <w:t>Positive result by conventional PCR</w:t>
      </w:r>
    </w:p>
    <w:p w14:paraId="2521D322" w14:textId="0C0CFFCC" w:rsidR="00E5072F" w:rsidRPr="006D427B" w:rsidRDefault="00C458D5" w:rsidP="00C458D5">
      <w:pPr>
        <w:pStyle w:val="Para3i"/>
        <w:spacing w:after="240"/>
      </w:pPr>
      <w:r w:rsidRPr="006D427B">
        <w:t>iv)</w:t>
      </w:r>
      <w:r w:rsidRPr="006D427B">
        <w:tab/>
      </w:r>
      <w:r w:rsidR="00E5072F" w:rsidRPr="006D427B">
        <w:t>Positive result by real-time PCR</w:t>
      </w:r>
    </w:p>
    <w:p w14:paraId="7714DEF8" w14:textId="77777777" w:rsidR="00BC4790" w:rsidRPr="006D427B" w:rsidRDefault="00BC4790" w:rsidP="00BC4790">
      <w:pPr>
        <w:pStyle w:val="1110"/>
      </w:pPr>
      <w:r w:rsidRPr="006D427B">
        <w:t>6.2.2.</w:t>
      </w:r>
      <w:r w:rsidRPr="006D427B">
        <w:tab/>
        <w:t>Definition of confirmed case in clinically affected animals</w:t>
      </w:r>
    </w:p>
    <w:p w14:paraId="79095797" w14:textId="29BFD289" w:rsidR="00BC4790" w:rsidRPr="006D427B" w:rsidRDefault="00BC4790" w:rsidP="00BC4790">
      <w:pPr>
        <w:pStyle w:val="Para3"/>
        <w:spacing w:after="120"/>
      </w:pPr>
      <w:bookmarkStart w:id="38" w:name="_Hlk57044990"/>
      <w:r w:rsidRPr="006D427B">
        <w:t xml:space="preserve">The presence of infection with </w:t>
      </w:r>
      <w:r w:rsidR="009C5845" w:rsidRPr="006D427B">
        <w:rPr>
          <w:i/>
          <w:iCs/>
        </w:rPr>
        <w:t>X</w:t>
      </w:r>
      <w:r w:rsidR="0033318B" w:rsidRPr="006D427B">
        <w:rPr>
          <w:i/>
          <w:iCs/>
        </w:rPr>
        <w:t>.</w:t>
      </w:r>
      <w:r w:rsidR="009C5845" w:rsidRPr="006D427B">
        <w:rPr>
          <w:i/>
          <w:iCs/>
        </w:rPr>
        <w:t xml:space="preserve"> californiensis</w:t>
      </w:r>
      <w:r w:rsidR="009C5845" w:rsidRPr="006D427B">
        <w:t xml:space="preserve"> </w:t>
      </w:r>
      <w:proofErr w:type="gramStart"/>
      <w:r w:rsidRPr="006D427B">
        <w:t>is considered to be</w:t>
      </w:r>
      <w:proofErr w:type="gramEnd"/>
      <w:r w:rsidRPr="006D427B">
        <w:t xml:space="preserve"> confirmed if at least at least one of the following criteria is met:</w:t>
      </w:r>
    </w:p>
    <w:p w14:paraId="38F42848" w14:textId="5E83741C" w:rsidR="009C5845" w:rsidRPr="006D427B" w:rsidRDefault="00C458D5" w:rsidP="00C458D5">
      <w:pPr>
        <w:pStyle w:val="Para3i"/>
      </w:pPr>
      <w:r w:rsidRPr="006D427B">
        <w:t>i)</w:t>
      </w:r>
      <w:r w:rsidRPr="006D427B">
        <w:tab/>
      </w:r>
      <w:r w:rsidR="009C5845" w:rsidRPr="006D427B">
        <w:t>Positive result by real-time PCR and positive result by conventional PCR followed by amplicon sequencing.</w:t>
      </w:r>
    </w:p>
    <w:p w14:paraId="209D7F1E" w14:textId="73FFE231" w:rsidR="009C5845" w:rsidRPr="006D427B" w:rsidRDefault="00C458D5" w:rsidP="00C458D5">
      <w:pPr>
        <w:pStyle w:val="Para3i"/>
      </w:pPr>
      <w:r w:rsidRPr="006D427B">
        <w:t>ii)</w:t>
      </w:r>
      <w:r w:rsidRPr="006D427B">
        <w:tab/>
      </w:r>
      <w:r w:rsidR="009C5845" w:rsidRPr="006D427B">
        <w:t xml:space="preserve">Positive result by </w:t>
      </w:r>
      <w:r w:rsidR="003D2AF5" w:rsidRPr="006D427B">
        <w:rPr>
          <w:i/>
          <w:iCs/>
        </w:rPr>
        <w:t>in</w:t>
      </w:r>
      <w:r w:rsidR="009C5845" w:rsidRPr="006D427B">
        <w:rPr>
          <w:i/>
          <w:iCs/>
        </w:rPr>
        <w:t>-situ</w:t>
      </w:r>
      <w:r w:rsidR="009C5845" w:rsidRPr="006D427B">
        <w:t xml:space="preserve"> hybridisation and positive result by conventional PCR followed by amplicon sequencing.</w:t>
      </w:r>
    </w:p>
    <w:p w14:paraId="62544439" w14:textId="0A605F37" w:rsidR="009C5845" w:rsidRPr="006D427B" w:rsidRDefault="00C458D5" w:rsidP="00C458D5">
      <w:pPr>
        <w:pStyle w:val="Para3i"/>
        <w:spacing w:after="240"/>
      </w:pPr>
      <w:r w:rsidRPr="006D427B">
        <w:t>iii)</w:t>
      </w:r>
      <w:r w:rsidRPr="006D427B">
        <w:tab/>
      </w:r>
      <w:r w:rsidR="009C5845" w:rsidRPr="006D427B">
        <w:t xml:space="preserve">Positive result by </w:t>
      </w:r>
      <w:r w:rsidR="009C5845" w:rsidRPr="006D427B">
        <w:rPr>
          <w:i/>
          <w:iCs/>
        </w:rPr>
        <w:t>In-situ</w:t>
      </w:r>
      <w:r w:rsidR="009C5845" w:rsidRPr="006D427B">
        <w:t xml:space="preserve"> hybridisation and positive result by real-time PCR.</w:t>
      </w:r>
    </w:p>
    <w:bookmarkEnd w:id="38"/>
    <w:p w14:paraId="1A83DB0F" w14:textId="77777777" w:rsidR="00BC4790" w:rsidRPr="006D427B" w:rsidRDefault="00BC4790" w:rsidP="00BC4790">
      <w:pPr>
        <w:pStyle w:val="1110"/>
        <w:rPr>
          <w:sz w:val="22"/>
        </w:rPr>
      </w:pPr>
      <w:r w:rsidRPr="006D427B">
        <w:rPr>
          <w:sz w:val="22"/>
        </w:rPr>
        <w:t>6.3.</w:t>
      </w:r>
      <w:r w:rsidRPr="006D427B">
        <w:rPr>
          <w:sz w:val="22"/>
        </w:rPr>
        <w:tab/>
        <w:t>Diagnostic sensitivity and specificity for diagnostic tests</w:t>
      </w:r>
    </w:p>
    <w:p w14:paraId="4F778778" w14:textId="6D0DB550" w:rsidR="00BC4790" w:rsidRPr="006D427B" w:rsidRDefault="00BC4790" w:rsidP="007425EF">
      <w:pPr>
        <w:pStyle w:val="Para2"/>
        <w:rPr>
          <w:rFonts w:eastAsia="MS Mincho"/>
          <w:u w:color="000000"/>
          <w:bdr w:val="nil"/>
        </w:rPr>
      </w:pPr>
      <w:r w:rsidRPr="006D427B">
        <w:rPr>
          <w:rFonts w:eastAsia="MS Mincho"/>
          <w:u w:color="000000"/>
          <w:bdr w:val="nil"/>
        </w:rPr>
        <w:lastRenderedPageBreak/>
        <w:t xml:space="preserve">The diagnostic performance of tests recommended for surveillance or diagnosis of infection with </w:t>
      </w:r>
      <w:r w:rsidR="00A02FDF" w:rsidRPr="006D427B">
        <w:rPr>
          <w:rFonts w:eastAsia="MS Mincho"/>
          <w:i/>
          <w:iCs/>
          <w:u w:color="000000"/>
          <w:bdr w:val="nil"/>
        </w:rPr>
        <w:t>Xenohaliotis californiensis</w:t>
      </w:r>
      <w:r w:rsidRPr="006D427B">
        <w:rPr>
          <w:rFonts w:eastAsia="MS Mincho"/>
          <w:u w:color="000000"/>
          <w:bdr w:val="nil"/>
        </w:rPr>
        <w:t xml:space="preserve"> are provided in Tables 6.3.1. and 6.3.2</w:t>
      </w:r>
      <w:r w:rsidR="00795FB1" w:rsidRPr="006D427B">
        <w:rPr>
          <w:rFonts w:eastAsia="MS Mincho"/>
          <w:u w:color="000000"/>
          <w:bdr w:val="nil"/>
        </w:rPr>
        <w:t>)</w:t>
      </w:r>
      <w:r w:rsidRPr="006D427B">
        <w:rPr>
          <w:rFonts w:eastAsia="MS Mincho"/>
          <w:u w:color="000000"/>
          <w:bdr w:val="nil"/>
        </w:rPr>
        <w:t>. Data are only presented where tests are validated to at least level 2 of the validation pathway described in Chapter 1.1.2. and the information is available within published diagnostic accuracy studies.</w:t>
      </w:r>
    </w:p>
    <w:p w14:paraId="3794E933" w14:textId="19B12BC1" w:rsidR="00BC4790" w:rsidRPr="006D427B" w:rsidRDefault="00BC4790" w:rsidP="00BC4790">
      <w:pPr>
        <w:pStyle w:val="1110"/>
      </w:pPr>
      <w:r w:rsidRPr="006D427B">
        <w:rPr>
          <w:lang w:val="da-DK"/>
        </w:rPr>
        <w:t>6.3.1</w:t>
      </w:r>
      <w:r w:rsidRPr="006D427B">
        <w:t>.</w:t>
      </w:r>
      <w:r w:rsidRPr="006D427B">
        <w:rPr>
          <w:lang w:val="da-DK"/>
        </w:rPr>
        <w:tab/>
        <w:t>For p</w:t>
      </w:r>
      <w:r w:rsidRPr="006D427B">
        <w:rPr>
          <w:lang w:val="en-AU"/>
        </w:rPr>
        <w:t>resumptive diagnosis of clinically affected animals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
        <w:gridCol w:w="1043"/>
        <w:gridCol w:w="1162"/>
        <w:gridCol w:w="1154"/>
        <w:gridCol w:w="1337"/>
        <w:gridCol w:w="660"/>
        <w:gridCol w:w="660"/>
        <w:gridCol w:w="1286"/>
        <w:gridCol w:w="993"/>
      </w:tblGrid>
      <w:tr w:rsidR="00437CE1" w:rsidRPr="006D427B" w14:paraId="05B5037E" w14:textId="77777777" w:rsidTr="4F0525A9">
        <w:tc>
          <w:tcPr>
            <w:tcW w:w="680" w:type="dxa"/>
            <w:tcMar>
              <w:top w:w="0" w:type="dxa"/>
              <w:left w:w="108" w:type="dxa"/>
              <w:bottom w:w="0" w:type="dxa"/>
              <w:right w:w="108" w:type="dxa"/>
            </w:tcMar>
            <w:vAlign w:val="center"/>
            <w:hideMark/>
          </w:tcPr>
          <w:p w14:paraId="66C324DD"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type</w:t>
            </w:r>
          </w:p>
        </w:tc>
        <w:tc>
          <w:tcPr>
            <w:tcW w:w="1077" w:type="dxa"/>
            <w:tcMar>
              <w:top w:w="0" w:type="dxa"/>
              <w:left w:w="108" w:type="dxa"/>
              <w:bottom w:w="0" w:type="dxa"/>
              <w:right w:w="108" w:type="dxa"/>
            </w:tcMar>
            <w:vAlign w:val="center"/>
            <w:hideMark/>
          </w:tcPr>
          <w:p w14:paraId="676A1C3B"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purpose</w:t>
            </w:r>
          </w:p>
        </w:tc>
        <w:tc>
          <w:tcPr>
            <w:tcW w:w="1191" w:type="dxa"/>
            <w:tcMar>
              <w:top w:w="0" w:type="dxa"/>
              <w:left w:w="108" w:type="dxa"/>
              <w:bottom w:w="0" w:type="dxa"/>
              <w:right w:w="108" w:type="dxa"/>
            </w:tcMar>
            <w:vAlign w:val="center"/>
            <w:hideMark/>
          </w:tcPr>
          <w:p w14:paraId="6CC9FD7D"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Source populations</w:t>
            </w:r>
          </w:p>
        </w:tc>
        <w:tc>
          <w:tcPr>
            <w:tcW w:w="1192" w:type="dxa"/>
            <w:tcMar>
              <w:top w:w="0" w:type="dxa"/>
              <w:left w:w="108" w:type="dxa"/>
              <w:bottom w:w="0" w:type="dxa"/>
              <w:right w:w="108" w:type="dxa"/>
            </w:tcMar>
            <w:vAlign w:val="center"/>
            <w:hideMark/>
          </w:tcPr>
          <w:p w14:paraId="1C0EA07E"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Tissue or sample types</w:t>
            </w:r>
          </w:p>
        </w:tc>
        <w:tc>
          <w:tcPr>
            <w:tcW w:w="1303" w:type="dxa"/>
            <w:tcMar>
              <w:top w:w="0" w:type="dxa"/>
              <w:left w:w="108" w:type="dxa"/>
              <w:bottom w:w="0" w:type="dxa"/>
              <w:right w:w="108" w:type="dxa"/>
            </w:tcMar>
            <w:vAlign w:val="center"/>
            <w:hideMark/>
          </w:tcPr>
          <w:p w14:paraId="782FD3D1"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Species</w:t>
            </w:r>
          </w:p>
        </w:tc>
        <w:tc>
          <w:tcPr>
            <w:tcW w:w="680" w:type="dxa"/>
            <w:tcMar>
              <w:top w:w="0" w:type="dxa"/>
              <w:left w:w="108" w:type="dxa"/>
              <w:bottom w:w="0" w:type="dxa"/>
              <w:right w:w="108" w:type="dxa"/>
            </w:tcMar>
            <w:vAlign w:val="center"/>
            <w:hideMark/>
          </w:tcPr>
          <w:p w14:paraId="5DDDF528"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DSe</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680" w:type="dxa"/>
            <w:tcMar>
              <w:top w:w="0" w:type="dxa"/>
              <w:left w:w="108" w:type="dxa"/>
              <w:bottom w:w="0" w:type="dxa"/>
              <w:right w:w="108" w:type="dxa"/>
            </w:tcMar>
            <w:vAlign w:val="center"/>
            <w:hideMark/>
          </w:tcPr>
          <w:p w14:paraId="2712DFAB"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DSp</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1304" w:type="dxa"/>
            <w:tcMar>
              <w:top w:w="0" w:type="dxa"/>
              <w:left w:w="108" w:type="dxa"/>
              <w:bottom w:w="0" w:type="dxa"/>
              <w:right w:w="108" w:type="dxa"/>
            </w:tcMar>
            <w:vAlign w:val="center"/>
            <w:hideMark/>
          </w:tcPr>
          <w:p w14:paraId="1A1B5853"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Reference test</w:t>
            </w:r>
          </w:p>
        </w:tc>
        <w:tc>
          <w:tcPr>
            <w:tcW w:w="1020" w:type="dxa"/>
            <w:tcMar>
              <w:top w:w="0" w:type="dxa"/>
              <w:left w:w="108" w:type="dxa"/>
              <w:bottom w:w="0" w:type="dxa"/>
              <w:right w:w="108" w:type="dxa"/>
            </w:tcMar>
            <w:vAlign w:val="center"/>
            <w:hideMark/>
          </w:tcPr>
          <w:p w14:paraId="26181A48"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Citation</w:t>
            </w:r>
          </w:p>
        </w:tc>
      </w:tr>
      <w:tr w:rsidR="00437CE1" w:rsidRPr="006D427B" w14:paraId="6611C9CC" w14:textId="77777777" w:rsidTr="4F0525A9">
        <w:tc>
          <w:tcPr>
            <w:tcW w:w="680" w:type="dxa"/>
            <w:tcMar>
              <w:top w:w="0" w:type="dxa"/>
              <w:left w:w="108" w:type="dxa"/>
              <w:bottom w:w="0" w:type="dxa"/>
              <w:right w:w="108" w:type="dxa"/>
            </w:tcMar>
            <w:vAlign w:val="center"/>
            <w:hideMark/>
          </w:tcPr>
          <w:p w14:paraId="0C53A941" w14:textId="77777777" w:rsidR="00BC4790" w:rsidRPr="006D427B" w:rsidRDefault="00BC4790">
            <w:pPr>
              <w:spacing w:before="120" w:after="120"/>
              <w:ind w:left="-57"/>
              <w:jc w:val="center"/>
              <w:rPr>
                <w:rFonts w:eastAsia="Calibri"/>
                <w:sz w:val="16"/>
                <w:szCs w:val="16"/>
              </w:rPr>
            </w:pPr>
            <w:r w:rsidRPr="006D427B">
              <w:rPr>
                <w:sz w:val="16"/>
                <w:szCs w:val="16"/>
                <w:lang w:val="en-IE" w:eastAsia="fr-FR"/>
              </w:rPr>
              <w:t>Real-time PCR</w:t>
            </w:r>
          </w:p>
        </w:tc>
        <w:tc>
          <w:tcPr>
            <w:tcW w:w="1077" w:type="dxa"/>
            <w:tcMar>
              <w:top w:w="0" w:type="dxa"/>
              <w:left w:w="108" w:type="dxa"/>
              <w:bottom w:w="0" w:type="dxa"/>
              <w:right w:w="108" w:type="dxa"/>
            </w:tcMar>
            <w:vAlign w:val="center"/>
            <w:hideMark/>
          </w:tcPr>
          <w:p w14:paraId="0090EA19" w14:textId="1D5A92B6" w:rsidR="00BC4790" w:rsidRPr="006D427B" w:rsidRDefault="25CEC737" w:rsidP="4F0525A9">
            <w:pPr>
              <w:spacing w:before="120" w:after="120"/>
              <w:ind w:left="-57"/>
              <w:jc w:val="center"/>
              <w:rPr>
                <w:rFonts w:eastAsia="Calibri"/>
                <w:sz w:val="16"/>
                <w:szCs w:val="16"/>
              </w:rPr>
            </w:pPr>
            <w:proofErr w:type="spellStart"/>
            <w:r w:rsidRPr="006D427B">
              <w:rPr>
                <w:sz w:val="16"/>
                <w:szCs w:val="16"/>
                <w:lang w:eastAsia="fr-FR"/>
              </w:rPr>
              <w:t>Diagnosis</w:t>
            </w:r>
            <w:proofErr w:type="spellEnd"/>
            <w:r w:rsidRPr="006D427B">
              <w:rPr>
                <w:sz w:val="16"/>
                <w:szCs w:val="16"/>
                <w:lang w:eastAsia="fr-FR"/>
              </w:rPr>
              <w:t xml:space="preserve"> </w:t>
            </w:r>
          </w:p>
        </w:tc>
        <w:tc>
          <w:tcPr>
            <w:tcW w:w="1191" w:type="dxa"/>
            <w:tcMar>
              <w:top w:w="0" w:type="dxa"/>
              <w:left w:w="108" w:type="dxa"/>
              <w:bottom w:w="0" w:type="dxa"/>
              <w:right w:w="108" w:type="dxa"/>
            </w:tcMar>
            <w:vAlign w:val="center"/>
            <w:hideMark/>
          </w:tcPr>
          <w:p w14:paraId="52717F7F" w14:textId="0F00CF39" w:rsidR="00BC4790" w:rsidRPr="006D427B" w:rsidRDefault="00BC4790" w:rsidP="0066752A">
            <w:pPr>
              <w:spacing w:before="120" w:after="120"/>
              <w:ind w:left="-57"/>
              <w:jc w:val="center"/>
              <w:rPr>
                <w:rFonts w:eastAsia="Calibri"/>
                <w:sz w:val="16"/>
                <w:szCs w:val="16"/>
                <w:lang w:val="en-IE"/>
              </w:rPr>
            </w:pPr>
            <w:r w:rsidRPr="006D427B">
              <w:rPr>
                <w:sz w:val="16"/>
                <w:szCs w:val="16"/>
                <w:lang w:val="en-IE" w:eastAsia="fr-FR"/>
              </w:rPr>
              <w:t>Clinically diseased abalone from farms</w:t>
            </w:r>
          </w:p>
        </w:tc>
        <w:tc>
          <w:tcPr>
            <w:tcW w:w="1192" w:type="dxa"/>
            <w:tcMar>
              <w:top w:w="0" w:type="dxa"/>
              <w:left w:w="108" w:type="dxa"/>
              <w:bottom w:w="0" w:type="dxa"/>
              <w:right w:w="108" w:type="dxa"/>
            </w:tcMar>
            <w:vAlign w:val="center"/>
            <w:hideMark/>
          </w:tcPr>
          <w:p w14:paraId="673510BD" w14:textId="4F7E0DDB" w:rsidR="00BC4790" w:rsidRPr="006D427B" w:rsidRDefault="00A02FDF">
            <w:pPr>
              <w:spacing w:before="120" w:after="120"/>
              <w:ind w:left="-57"/>
              <w:jc w:val="center"/>
              <w:rPr>
                <w:rFonts w:eastAsia="Calibri"/>
                <w:sz w:val="16"/>
                <w:szCs w:val="16"/>
                <w:lang w:val="en-ZA"/>
              </w:rPr>
            </w:pPr>
            <w:r w:rsidRPr="006D427B">
              <w:rPr>
                <w:sz w:val="16"/>
                <w:szCs w:val="16"/>
                <w:lang w:val="en-IE" w:eastAsia="fr-FR"/>
              </w:rPr>
              <w:t xml:space="preserve">Posterior </w:t>
            </w:r>
            <w:proofErr w:type="spellStart"/>
            <w:r w:rsidRPr="006D427B">
              <w:rPr>
                <w:sz w:val="16"/>
                <w:szCs w:val="16"/>
                <w:lang w:val="en-IE" w:eastAsia="fr-FR"/>
              </w:rPr>
              <w:t>esophagus</w:t>
            </w:r>
            <w:proofErr w:type="spellEnd"/>
            <w:r w:rsidRPr="006D427B">
              <w:rPr>
                <w:sz w:val="16"/>
                <w:szCs w:val="16"/>
                <w:lang w:val="en-IE" w:eastAsia="fr-FR"/>
              </w:rPr>
              <w:t xml:space="preserve"> and digestive gland tissue</w:t>
            </w:r>
          </w:p>
        </w:tc>
        <w:tc>
          <w:tcPr>
            <w:tcW w:w="1303" w:type="dxa"/>
            <w:tcMar>
              <w:top w:w="0" w:type="dxa"/>
              <w:left w:w="108" w:type="dxa"/>
              <w:bottom w:w="0" w:type="dxa"/>
              <w:right w:w="108" w:type="dxa"/>
            </w:tcMar>
            <w:vAlign w:val="center"/>
            <w:hideMark/>
          </w:tcPr>
          <w:p w14:paraId="79D013A6" w14:textId="6629017A" w:rsidR="00BC4790" w:rsidRPr="006D427B" w:rsidRDefault="49D2F34E" w:rsidP="4F0525A9">
            <w:pPr>
              <w:spacing w:before="120" w:after="120"/>
              <w:ind w:left="-57"/>
              <w:jc w:val="center"/>
              <w:rPr>
                <w:rFonts w:eastAsia="Calibri"/>
                <w:i/>
                <w:iCs/>
                <w:sz w:val="16"/>
                <w:szCs w:val="16"/>
              </w:rPr>
            </w:pPr>
            <w:r w:rsidRPr="006D427B">
              <w:rPr>
                <w:i/>
                <w:iCs/>
                <w:sz w:val="16"/>
                <w:szCs w:val="16"/>
                <w:lang w:eastAsia="fr-FR"/>
              </w:rPr>
              <w:t xml:space="preserve">Haliotis </w:t>
            </w:r>
            <w:proofErr w:type="spellStart"/>
            <w:r w:rsidRPr="006D427B">
              <w:rPr>
                <w:i/>
                <w:iCs/>
                <w:sz w:val="16"/>
                <w:szCs w:val="16"/>
                <w:lang w:eastAsia="fr-FR"/>
              </w:rPr>
              <w:t>rufescens</w:t>
            </w:r>
            <w:proofErr w:type="spellEnd"/>
            <w:r w:rsidRPr="006D427B">
              <w:rPr>
                <w:i/>
                <w:iCs/>
                <w:sz w:val="16"/>
                <w:szCs w:val="16"/>
                <w:lang w:eastAsia="fr-FR"/>
              </w:rPr>
              <w:t>, H.</w:t>
            </w:r>
            <w:r w:rsidR="6D2A8975" w:rsidRPr="006D427B">
              <w:rPr>
                <w:i/>
                <w:iCs/>
                <w:sz w:val="16"/>
                <w:szCs w:val="16"/>
                <w:lang w:eastAsia="fr-FR"/>
              </w:rPr>
              <w:t> </w:t>
            </w:r>
            <w:proofErr w:type="spellStart"/>
            <w:r w:rsidRPr="006D427B">
              <w:rPr>
                <w:i/>
                <w:iCs/>
                <w:sz w:val="16"/>
                <w:szCs w:val="16"/>
                <w:lang w:eastAsia="fr-FR"/>
              </w:rPr>
              <w:t>sorensoni</w:t>
            </w:r>
            <w:proofErr w:type="spellEnd"/>
            <w:r w:rsidRPr="006D427B">
              <w:rPr>
                <w:i/>
                <w:iCs/>
                <w:sz w:val="16"/>
                <w:szCs w:val="16"/>
                <w:lang w:eastAsia="fr-FR"/>
              </w:rPr>
              <w:t>, H.</w:t>
            </w:r>
            <w:r w:rsidR="6D2A8975" w:rsidRPr="006D427B">
              <w:rPr>
                <w:i/>
                <w:iCs/>
                <w:sz w:val="16"/>
                <w:szCs w:val="16"/>
                <w:lang w:eastAsia="fr-FR"/>
              </w:rPr>
              <w:t> </w:t>
            </w:r>
            <w:proofErr w:type="spellStart"/>
            <w:r w:rsidRPr="006D427B">
              <w:rPr>
                <w:i/>
                <w:iCs/>
                <w:sz w:val="16"/>
                <w:szCs w:val="16"/>
                <w:lang w:eastAsia="fr-FR"/>
              </w:rPr>
              <w:t>fulgens</w:t>
            </w:r>
            <w:proofErr w:type="spellEnd"/>
            <w:r w:rsidRPr="006D427B">
              <w:rPr>
                <w:i/>
                <w:iCs/>
                <w:sz w:val="16"/>
                <w:szCs w:val="16"/>
                <w:lang w:eastAsia="fr-FR"/>
              </w:rPr>
              <w:t>, H.</w:t>
            </w:r>
            <w:r w:rsidR="6D2A8975" w:rsidRPr="006D427B">
              <w:rPr>
                <w:i/>
                <w:iCs/>
                <w:sz w:val="16"/>
                <w:szCs w:val="16"/>
                <w:lang w:eastAsia="fr-FR"/>
              </w:rPr>
              <w:t> </w:t>
            </w:r>
            <w:proofErr w:type="spellStart"/>
            <w:r w:rsidRPr="006D427B">
              <w:rPr>
                <w:i/>
                <w:iCs/>
                <w:sz w:val="16"/>
                <w:szCs w:val="16"/>
                <w:lang w:eastAsia="fr-FR"/>
              </w:rPr>
              <w:t>discushannai</w:t>
            </w:r>
            <w:proofErr w:type="spellEnd"/>
            <w:r w:rsidRPr="006D427B">
              <w:rPr>
                <w:i/>
                <w:iCs/>
                <w:sz w:val="16"/>
                <w:szCs w:val="16"/>
                <w:lang w:eastAsia="fr-FR"/>
              </w:rPr>
              <w:t xml:space="preserve">, H. </w:t>
            </w:r>
            <w:proofErr w:type="spellStart"/>
            <w:r w:rsidRPr="006D427B">
              <w:rPr>
                <w:i/>
                <w:iCs/>
                <w:sz w:val="16"/>
                <w:szCs w:val="16"/>
                <w:lang w:eastAsia="fr-FR"/>
              </w:rPr>
              <w:t>cracherodii</w:t>
            </w:r>
            <w:proofErr w:type="spellEnd"/>
            <w:r w:rsidRPr="006D427B">
              <w:rPr>
                <w:i/>
                <w:iCs/>
                <w:sz w:val="16"/>
                <w:szCs w:val="16"/>
                <w:lang w:eastAsia="fr-FR"/>
              </w:rPr>
              <w:t>, H.</w:t>
            </w:r>
            <w:r w:rsidR="676E7FD5" w:rsidRPr="006D427B">
              <w:rPr>
                <w:i/>
                <w:iCs/>
                <w:sz w:val="16"/>
                <w:szCs w:val="16"/>
                <w:lang w:eastAsia="fr-FR"/>
              </w:rPr>
              <w:t> </w:t>
            </w:r>
            <w:proofErr w:type="spellStart"/>
            <w:r w:rsidRPr="006D427B">
              <w:rPr>
                <w:i/>
                <w:iCs/>
                <w:sz w:val="16"/>
                <w:szCs w:val="16"/>
                <w:lang w:eastAsia="fr-FR"/>
              </w:rPr>
              <w:t>kamtschatkana</w:t>
            </w:r>
            <w:proofErr w:type="spellEnd"/>
          </w:p>
        </w:tc>
        <w:tc>
          <w:tcPr>
            <w:tcW w:w="680" w:type="dxa"/>
            <w:tcMar>
              <w:top w:w="0" w:type="dxa"/>
              <w:left w:w="108" w:type="dxa"/>
              <w:bottom w:w="0" w:type="dxa"/>
              <w:right w:w="108" w:type="dxa"/>
            </w:tcMar>
            <w:vAlign w:val="center"/>
            <w:hideMark/>
          </w:tcPr>
          <w:p w14:paraId="3E8EC436" w14:textId="2CFCCB29" w:rsidR="00BC4790" w:rsidRPr="006D427B" w:rsidRDefault="00BC4790">
            <w:pPr>
              <w:spacing w:before="120" w:after="120"/>
              <w:ind w:left="-57"/>
              <w:jc w:val="center"/>
              <w:rPr>
                <w:rFonts w:eastAsia="Calibri"/>
                <w:sz w:val="16"/>
                <w:szCs w:val="16"/>
              </w:rPr>
            </w:pPr>
            <w:r w:rsidRPr="006D427B">
              <w:rPr>
                <w:sz w:val="16"/>
                <w:szCs w:val="16"/>
                <w:lang w:eastAsia="fr-FR"/>
              </w:rPr>
              <w:t>100 (</w:t>
            </w:r>
            <w:r w:rsidR="00A02FDF" w:rsidRPr="006D427B">
              <w:rPr>
                <w:sz w:val="16"/>
                <w:szCs w:val="16"/>
                <w:lang w:eastAsia="fr-FR"/>
              </w:rPr>
              <w:t>518</w:t>
            </w:r>
            <w:r w:rsidRPr="006D427B">
              <w:rPr>
                <w:sz w:val="16"/>
                <w:szCs w:val="16"/>
                <w:lang w:eastAsia="fr-FR"/>
              </w:rPr>
              <w:t>)</w:t>
            </w:r>
          </w:p>
        </w:tc>
        <w:tc>
          <w:tcPr>
            <w:tcW w:w="680" w:type="dxa"/>
            <w:tcMar>
              <w:top w:w="0" w:type="dxa"/>
              <w:left w:w="108" w:type="dxa"/>
              <w:bottom w:w="0" w:type="dxa"/>
              <w:right w:w="108" w:type="dxa"/>
            </w:tcMar>
            <w:vAlign w:val="center"/>
            <w:hideMark/>
          </w:tcPr>
          <w:p w14:paraId="060A1DAB" w14:textId="135B3320" w:rsidR="00BC4790" w:rsidRPr="006D427B" w:rsidRDefault="00A02FDF">
            <w:pPr>
              <w:spacing w:before="120" w:after="120"/>
              <w:ind w:left="-57"/>
              <w:jc w:val="center"/>
              <w:rPr>
                <w:rFonts w:eastAsia="Calibri"/>
                <w:sz w:val="16"/>
                <w:szCs w:val="16"/>
              </w:rPr>
            </w:pPr>
            <w:r w:rsidRPr="006D427B">
              <w:rPr>
                <w:sz w:val="16"/>
                <w:szCs w:val="16"/>
                <w:lang w:eastAsia="fr-FR"/>
              </w:rPr>
              <w:t>99.7</w:t>
            </w:r>
            <w:r w:rsidR="00BC4790" w:rsidRPr="006D427B">
              <w:rPr>
                <w:sz w:val="16"/>
                <w:szCs w:val="16"/>
                <w:lang w:eastAsia="fr-FR"/>
              </w:rPr>
              <w:t xml:space="preserve"> (</w:t>
            </w:r>
            <w:r w:rsidRPr="006D427B">
              <w:rPr>
                <w:sz w:val="16"/>
                <w:szCs w:val="16"/>
                <w:lang w:eastAsia="fr-FR"/>
              </w:rPr>
              <w:t>518</w:t>
            </w:r>
            <w:r w:rsidR="00BC4790" w:rsidRPr="006D427B">
              <w:rPr>
                <w:sz w:val="16"/>
                <w:szCs w:val="16"/>
                <w:lang w:eastAsia="fr-FR"/>
              </w:rPr>
              <w:t>)</w:t>
            </w:r>
          </w:p>
        </w:tc>
        <w:tc>
          <w:tcPr>
            <w:tcW w:w="1304" w:type="dxa"/>
            <w:tcMar>
              <w:top w:w="0" w:type="dxa"/>
              <w:left w:w="108" w:type="dxa"/>
              <w:bottom w:w="0" w:type="dxa"/>
              <w:right w:w="108" w:type="dxa"/>
            </w:tcMar>
            <w:vAlign w:val="center"/>
            <w:hideMark/>
          </w:tcPr>
          <w:p w14:paraId="4D20D8A0" w14:textId="0C0CEA6B" w:rsidR="00BC4790" w:rsidRPr="006D427B" w:rsidRDefault="33C784AA" w:rsidP="4F0525A9">
            <w:pPr>
              <w:spacing w:before="120" w:after="120"/>
              <w:ind w:left="-57"/>
              <w:jc w:val="center"/>
              <w:rPr>
                <w:rFonts w:eastAsia="Calibri"/>
                <w:sz w:val="16"/>
                <w:szCs w:val="16"/>
              </w:rPr>
            </w:pPr>
            <w:proofErr w:type="spellStart"/>
            <w:r w:rsidRPr="006D427B">
              <w:rPr>
                <w:sz w:val="16"/>
                <w:szCs w:val="16"/>
                <w:lang w:eastAsia="fr-FR"/>
              </w:rPr>
              <w:t>Histopathology</w:t>
            </w:r>
            <w:proofErr w:type="spellEnd"/>
          </w:p>
        </w:tc>
        <w:tc>
          <w:tcPr>
            <w:tcW w:w="1020" w:type="dxa"/>
            <w:tcMar>
              <w:top w:w="0" w:type="dxa"/>
              <w:left w:w="108" w:type="dxa"/>
              <w:bottom w:w="0" w:type="dxa"/>
              <w:right w:w="108" w:type="dxa"/>
            </w:tcMar>
            <w:vAlign w:val="center"/>
            <w:hideMark/>
          </w:tcPr>
          <w:p w14:paraId="0023521D" w14:textId="14F73DE6" w:rsidR="00BC4790" w:rsidRPr="006D427B" w:rsidRDefault="00A02FDF">
            <w:pPr>
              <w:spacing w:before="120" w:after="120"/>
              <w:ind w:left="-57"/>
              <w:jc w:val="center"/>
              <w:rPr>
                <w:rFonts w:eastAsia="Calibri"/>
                <w:sz w:val="16"/>
                <w:szCs w:val="16"/>
                <w:lang w:val="en-IE"/>
              </w:rPr>
            </w:pPr>
            <w:r w:rsidRPr="006D427B">
              <w:rPr>
                <w:sz w:val="16"/>
                <w:szCs w:val="16"/>
                <w:lang w:val="en-IE" w:eastAsia="fr-FR"/>
              </w:rPr>
              <w:t xml:space="preserve">Friedman </w:t>
            </w:r>
            <w:r w:rsidRPr="006D427B">
              <w:rPr>
                <w:i/>
                <w:iCs/>
                <w:sz w:val="16"/>
                <w:szCs w:val="16"/>
                <w:lang w:val="en-IE" w:eastAsia="fr-FR"/>
              </w:rPr>
              <w:t>et al</w:t>
            </w:r>
            <w:r w:rsidR="00C458D5" w:rsidRPr="006D427B">
              <w:rPr>
                <w:i/>
                <w:iCs/>
                <w:sz w:val="16"/>
                <w:szCs w:val="16"/>
                <w:lang w:val="en-IE" w:eastAsia="fr-FR"/>
              </w:rPr>
              <w:t>.</w:t>
            </w:r>
            <w:r w:rsidRPr="006D427B">
              <w:rPr>
                <w:i/>
                <w:iCs/>
                <w:sz w:val="16"/>
                <w:szCs w:val="16"/>
                <w:lang w:val="en-IE" w:eastAsia="fr-FR"/>
              </w:rPr>
              <w:t xml:space="preserve"> </w:t>
            </w:r>
            <w:r w:rsidRPr="006D427B">
              <w:rPr>
                <w:sz w:val="16"/>
                <w:szCs w:val="16"/>
                <w:lang w:val="en-IE" w:eastAsia="fr-FR"/>
              </w:rPr>
              <w:t>(2014)</w:t>
            </w:r>
          </w:p>
        </w:tc>
      </w:tr>
    </w:tbl>
    <w:p w14:paraId="537777D8" w14:textId="379A2591" w:rsidR="00BC4790" w:rsidRPr="006D427B" w:rsidRDefault="00BC4790" w:rsidP="00BC4790">
      <w:pPr>
        <w:pStyle w:val="ListParagraph"/>
        <w:spacing w:before="120" w:after="360"/>
        <w:ind w:left="0"/>
        <w:jc w:val="center"/>
        <w:rPr>
          <w:lang w:val="en-IE"/>
        </w:rPr>
      </w:pPr>
      <w:proofErr w:type="spellStart"/>
      <w:r w:rsidRPr="006D427B">
        <w:rPr>
          <w:rFonts w:cs="Arial"/>
          <w:sz w:val="16"/>
          <w:szCs w:val="16"/>
          <w:lang w:val="en-IE"/>
        </w:rPr>
        <w:t>DSe</w:t>
      </w:r>
      <w:proofErr w:type="spellEnd"/>
      <w:r w:rsidRPr="006D427B">
        <w:rPr>
          <w:rFonts w:cs="Arial"/>
          <w:sz w:val="16"/>
          <w:szCs w:val="16"/>
          <w:lang w:val="en-IE"/>
        </w:rPr>
        <w:t xml:space="preserve"> = diagnostic sensitivity, </w:t>
      </w:r>
      <w:proofErr w:type="spellStart"/>
      <w:r w:rsidRPr="006D427B">
        <w:rPr>
          <w:rFonts w:cs="Arial"/>
          <w:sz w:val="16"/>
          <w:szCs w:val="16"/>
          <w:lang w:val="en-IE"/>
        </w:rPr>
        <w:t>DSp</w:t>
      </w:r>
      <w:proofErr w:type="spellEnd"/>
      <w:r w:rsidRPr="006D427B">
        <w:rPr>
          <w:rFonts w:cs="Arial"/>
          <w:sz w:val="16"/>
          <w:szCs w:val="16"/>
          <w:lang w:val="en-IE"/>
        </w:rPr>
        <w:t xml:space="preserve"> = diagnostic specificity, </w:t>
      </w:r>
      <w:r w:rsidRPr="006D427B">
        <w:rPr>
          <w:rFonts w:cs="Arial"/>
          <w:i/>
          <w:iCs/>
          <w:sz w:val="16"/>
          <w:szCs w:val="16"/>
          <w:lang w:val="en-IE"/>
        </w:rPr>
        <w:t>n</w:t>
      </w:r>
      <w:r w:rsidRPr="006D427B">
        <w:rPr>
          <w:rFonts w:cs="Arial"/>
          <w:sz w:val="16"/>
          <w:szCs w:val="16"/>
          <w:lang w:val="en-IE"/>
        </w:rPr>
        <w:t xml:space="preserve"> = number of </w:t>
      </w:r>
      <w:r w:rsidR="00AD44E8" w:rsidRPr="006D427B">
        <w:rPr>
          <w:rFonts w:cs="Arial"/>
          <w:sz w:val="16"/>
          <w:szCs w:val="16"/>
          <w:lang w:val="en-IE"/>
        </w:rPr>
        <w:t>animals</w:t>
      </w:r>
      <w:r w:rsidRPr="006D427B">
        <w:rPr>
          <w:rFonts w:cs="Arial"/>
          <w:sz w:val="16"/>
          <w:szCs w:val="16"/>
          <w:lang w:val="en-IE"/>
        </w:rPr>
        <w:t xml:space="preserve"> used in the </w:t>
      </w:r>
      <w:r w:rsidR="00AD44E8" w:rsidRPr="006D427B">
        <w:rPr>
          <w:rFonts w:cs="Arial"/>
          <w:sz w:val="16"/>
          <w:szCs w:val="16"/>
          <w:lang w:val="en-IE"/>
        </w:rPr>
        <w:t xml:space="preserve">validation </w:t>
      </w:r>
      <w:r w:rsidRPr="006D427B">
        <w:rPr>
          <w:rFonts w:cs="Arial"/>
          <w:sz w:val="16"/>
          <w:szCs w:val="16"/>
          <w:lang w:val="en-IE"/>
        </w:rPr>
        <w:t>study,</w:t>
      </w:r>
      <w:r w:rsidRPr="006D427B">
        <w:rPr>
          <w:rFonts w:cs="Arial"/>
          <w:sz w:val="16"/>
          <w:szCs w:val="16"/>
          <w:lang w:val="en-IE"/>
        </w:rPr>
        <w:br/>
        <w:t>PCR: = polymerase chain reaction.</w:t>
      </w:r>
    </w:p>
    <w:p w14:paraId="293D6E70" w14:textId="07F24525" w:rsidR="00BC4790" w:rsidRPr="006D427B" w:rsidRDefault="00BC4790" w:rsidP="2092E50D">
      <w:pPr>
        <w:pStyle w:val="1110"/>
        <w:rPr>
          <w:lang w:val="en-AU"/>
        </w:rPr>
      </w:pPr>
      <w:r w:rsidRPr="006D427B">
        <w:rPr>
          <w:lang w:val="en-AU"/>
        </w:rPr>
        <w:t>6.3.2.</w:t>
      </w:r>
      <w:r w:rsidRPr="006D427B">
        <w:tab/>
      </w:r>
      <w:r w:rsidRPr="006D427B">
        <w:rPr>
          <w:lang w:val="en-AU"/>
        </w:rPr>
        <w:t>For surveillance of apparently healthy animals</w:t>
      </w:r>
      <w:r w:rsidR="00091E2E" w:rsidRPr="006D427B">
        <w:rPr>
          <w:lang w:val="en-AU"/>
        </w:rPr>
        <w:t xml:space="preserve"> (</w:t>
      </w:r>
      <w:r w:rsidR="00E85CF4" w:rsidRPr="006D427B">
        <w:rPr>
          <w:lang w:val="en-AU"/>
        </w:rPr>
        <w:t xml:space="preserve">no data </w:t>
      </w:r>
      <w:r w:rsidR="00E029C1" w:rsidRPr="006D427B">
        <w:rPr>
          <w:lang w:val="en-AU"/>
        </w:rPr>
        <w:t xml:space="preserve">are </w:t>
      </w:r>
      <w:r w:rsidR="00E85CF4" w:rsidRPr="006D427B">
        <w:rPr>
          <w:lang w:val="en-AU"/>
        </w:rPr>
        <w:t>currently available)</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1057"/>
        <w:gridCol w:w="1178"/>
        <w:gridCol w:w="1159"/>
        <w:gridCol w:w="1249"/>
        <w:gridCol w:w="659"/>
        <w:gridCol w:w="666"/>
        <w:gridCol w:w="1276"/>
        <w:gridCol w:w="993"/>
      </w:tblGrid>
      <w:tr w:rsidR="00437CE1" w:rsidRPr="006D427B" w14:paraId="172FB995" w14:textId="77777777">
        <w:tc>
          <w:tcPr>
            <w:tcW w:w="661" w:type="dxa"/>
            <w:tcMar>
              <w:top w:w="0" w:type="dxa"/>
              <w:left w:w="108" w:type="dxa"/>
              <w:bottom w:w="0" w:type="dxa"/>
              <w:right w:w="108" w:type="dxa"/>
            </w:tcMar>
            <w:vAlign w:val="center"/>
            <w:hideMark/>
          </w:tcPr>
          <w:p w14:paraId="34C297C7"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type</w:t>
            </w:r>
          </w:p>
        </w:tc>
        <w:tc>
          <w:tcPr>
            <w:tcW w:w="1057" w:type="dxa"/>
            <w:tcMar>
              <w:top w:w="0" w:type="dxa"/>
              <w:left w:w="108" w:type="dxa"/>
              <w:bottom w:w="0" w:type="dxa"/>
              <w:right w:w="108" w:type="dxa"/>
            </w:tcMar>
            <w:vAlign w:val="center"/>
            <w:hideMark/>
          </w:tcPr>
          <w:p w14:paraId="28458603"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purpose</w:t>
            </w:r>
          </w:p>
        </w:tc>
        <w:tc>
          <w:tcPr>
            <w:tcW w:w="1178" w:type="dxa"/>
            <w:tcMar>
              <w:top w:w="0" w:type="dxa"/>
              <w:left w:w="108" w:type="dxa"/>
              <w:bottom w:w="0" w:type="dxa"/>
              <w:right w:w="108" w:type="dxa"/>
            </w:tcMar>
            <w:vAlign w:val="center"/>
            <w:hideMark/>
          </w:tcPr>
          <w:p w14:paraId="0E32D6F7"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Source populations</w:t>
            </w:r>
          </w:p>
        </w:tc>
        <w:tc>
          <w:tcPr>
            <w:tcW w:w="1159" w:type="dxa"/>
            <w:tcMar>
              <w:top w:w="0" w:type="dxa"/>
              <w:left w:w="108" w:type="dxa"/>
              <w:bottom w:w="0" w:type="dxa"/>
              <w:right w:w="108" w:type="dxa"/>
            </w:tcMar>
            <w:vAlign w:val="center"/>
            <w:hideMark/>
          </w:tcPr>
          <w:p w14:paraId="4F6D8C35"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Tissue or sample types</w:t>
            </w:r>
          </w:p>
        </w:tc>
        <w:tc>
          <w:tcPr>
            <w:tcW w:w="1249" w:type="dxa"/>
            <w:tcMar>
              <w:top w:w="0" w:type="dxa"/>
              <w:left w:w="108" w:type="dxa"/>
              <w:bottom w:w="0" w:type="dxa"/>
              <w:right w:w="108" w:type="dxa"/>
            </w:tcMar>
            <w:vAlign w:val="center"/>
            <w:hideMark/>
          </w:tcPr>
          <w:p w14:paraId="38A8BC39"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Species</w:t>
            </w:r>
          </w:p>
        </w:tc>
        <w:tc>
          <w:tcPr>
            <w:tcW w:w="659" w:type="dxa"/>
            <w:tcMar>
              <w:top w:w="0" w:type="dxa"/>
              <w:left w:w="108" w:type="dxa"/>
              <w:bottom w:w="0" w:type="dxa"/>
              <w:right w:w="108" w:type="dxa"/>
            </w:tcMar>
            <w:vAlign w:val="center"/>
            <w:hideMark/>
          </w:tcPr>
          <w:p w14:paraId="3C49B0EC"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DSe</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666" w:type="dxa"/>
            <w:tcMar>
              <w:top w:w="0" w:type="dxa"/>
              <w:left w:w="108" w:type="dxa"/>
              <w:bottom w:w="0" w:type="dxa"/>
              <w:right w:w="108" w:type="dxa"/>
            </w:tcMar>
            <w:vAlign w:val="center"/>
            <w:hideMark/>
          </w:tcPr>
          <w:p w14:paraId="72151BE2"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DSp</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1276" w:type="dxa"/>
            <w:tcMar>
              <w:top w:w="0" w:type="dxa"/>
              <w:left w:w="108" w:type="dxa"/>
              <w:bottom w:w="0" w:type="dxa"/>
              <w:right w:w="108" w:type="dxa"/>
            </w:tcMar>
            <w:vAlign w:val="center"/>
            <w:hideMark/>
          </w:tcPr>
          <w:p w14:paraId="2EDB9840"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Reference test</w:t>
            </w:r>
          </w:p>
        </w:tc>
        <w:tc>
          <w:tcPr>
            <w:tcW w:w="993" w:type="dxa"/>
            <w:tcMar>
              <w:top w:w="0" w:type="dxa"/>
              <w:left w:w="108" w:type="dxa"/>
              <w:bottom w:w="0" w:type="dxa"/>
              <w:right w:w="108" w:type="dxa"/>
            </w:tcMar>
            <w:vAlign w:val="center"/>
            <w:hideMark/>
          </w:tcPr>
          <w:p w14:paraId="396C9F80"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Citation</w:t>
            </w:r>
          </w:p>
        </w:tc>
      </w:tr>
      <w:tr w:rsidR="00437CE1" w:rsidRPr="006D427B" w14:paraId="5F5FE011" w14:textId="77777777">
        <w:tc>
          <w:tcPr>
            <w:tcW w:w="661" w:type="dxa"/>
            <w:tcMar>
              <w:top w:w="0" w:type="dxa"/>
              <w:left w:w="108" w:type="dxa"/>
              <w:bottom w:w="0" w:type="dxa"/>
              <w:right w:w="108" w:type="dxa"/>
            </w:tcMar>
            <w:vAlign w:val="center"/>
            <w:hideMark/>
          </w:tcPr>
          <w:p w14:paraId="1CEF58EE" w14:textId="05A5130F" w:rsidR="00A02FDF" w:rsidRPr="006D427B" w:rsidRDefault="00A02FDF" w:rsidP="00A02FDF">
            <w:pPr>
              <w:spacing w:before="120" w:after="120"/>
              <w:ind w:left="-57"/>
              <w:jc w:val="center"/>
              <w:rPr>
                <w:rFonts w:eastAsia="Calibri"/>
                <w:sz w:val="16"/>
                <w:szCs w:val="16"/>
              </w:rPr>
            </w:pPr>
          </w:p>
        </w:tc>
        <w:tc>
          <w:tcPr>
            <w:tcW w:w="1057" w:type="dxa"/>
            <w:tcMar>
              <w:top w:w="0" w:type="dxa"/>
              <w:left w:w="108" w:type="dxa"/>
              <w:bottom w:w="0" w:type="dxa"/>
              <w:right w:w="108" w:type="dxa"/>
            </w:tcMar>
            <w:vAlign w:val="center"/>
            <w:hideMark/>
          </w:tcPr>
          <w:p w14:paraId="25336719" w14:textId="0DF185C2" w:rsidR="00A02FDF" w:rsidRPr="006D427B" w:rsidRDefault="00A02FDF" w:rsidP="00A02FDF">
            <w:pPr>
              <w:spacing w:before="120" w:after="120"/>
              <w:ind w:left="-57"/>
              <w:jc w:val="center"/>
              <w:rPr>
                <w:rFonts w:eastAsia="Calibri"/>
                <w:sz w:val="16"/>
                <w:szCs w:val="16"/>
              </w:rPr>
            </w:pPr>
          </w:p>
        </w:tc>
        <w:tc>
          <w:tcPr>
            <w:tcW w:w="1178" w:type="dxa"/>
            <w:tcMar>
              <w:top w:w="0" w:type="dxa"/>
              <w:left w:w="108" w:type="dxa"/>
              <w:bottom w:w="0" w:type="dxa"/>
              <w:right w:w="108" w:type="dxa"/>
            </w:tcMar>
            <w:vAlign w:val="center"/>
            <w:hideMark/>
          </w:tcPr>
          <w:p w14:paraId="4006EC3E" w14:textId="5571E881" w:rsidR="00A02FDF" w:rsidRPr="006D427B" w:rsidRDefault="00A02FDF" w:rsidP="00A02FDF">
            <w:pPr>
              <w:spacing w:before="120" w:after="120"/>
              <w:ind w:left="-57"/>
              <w:jc w:val="center"/>
              <w:rPr>
                <w:rFonts w:eastAsia="Calibri"/>
                <w:sz w:val="16"/>
                <w:szCs w:val="16"/>
                <w:lang w:val="en-IE"/>
              </w:rPr>
            </w:pPr>
          </w:p>
        </w:tc>
        <w:tc>
          <w:tcPr>
            <w:tcW w:w="1159" w:type="dxa"/>
            <w:tcMar>
              <w:top w:w="0" w:type="dxa"/>
              <w:left w:w="108" w:type="dxa"/>
              <w:bottom w:w="0" w:type="dxa"/>
              <w:right w:w="108" w:type="dxa"/>
            </w:tcMar>
            <w:vAlign w:val="center"/>
            <w:hideMark/>
          </w:tcPr>
          <w:p w14:paraId="64A1EF45" w14:textId="0B479D80" w:rsidR="00A02FDF" w:rsidRPr="006D427B" w:rsidRDefault="00A02FDF" w:rsidP="00A02FDF">
            <w:pPr>
              <w:spacing w:before="120" w:after="120"/>
              <w:ind w:left="-57"/>
              <w:jc w:val="center"/>
              <w:rPr>
                <w:rFonts w:eastAsia="Calibri"/>
                <w:sz w:val="16"/>
                <w:szCs w:val="16"/>
                <w:lang w:val="en-ZA"/>
              </w:rPr>
            </w:pPr>
          </w:p>
        </w:tc>
        <w:tc>
          <w:tcPr>
            <w:tcW w:w="1249" w:type="dxa"/>
            <w:tcMar>
              <w:top w:w="0" w:type="dxa"/>
              <w:left w:w="108" w:type="dxa"/>
              <w:bottom w:w="0" w:type="dxa"/>
              <w:right w:w="108" w:type="dxa"/>
            </w:tcMar>
            <w:vAlign w:val="center"/>
            <w:hideMark/>
          </w:tcPr>
          <w:p w14:paraId="336527B9" w14:textId="0240CEBB" w:rsidR="00A02FDF" w:rsidRPr="006D427B" w:rsidRDefault="00A02FDF" w:rsidP="00A02FDF">
            <w:pPr>
              <w:spacing w:before="120" w:after="120"/>
              <w:ind w:left="-57"/>
              <w:jc w:val="center"/>
              <w:rPr>
                <w:rFonts w:eastAsia="Calibri"/>
                <w:sz w:val="16"/>
                <w:szCs w:val="16"/>
              </w:rPr>
            </w:pPr>
          </w:p>
        </w:tc>
        <w:tc>
          <w:tcPr>
            <w:tcW w:w="659" w:type="dxa"/>
            <w:tcMar>
              <w:top w:w="0" w:type="dxa"/>
              <w:left w:w="108" w:type="dxa"/>
              <w:bottom w:w="0" w:type="dxa"/>
              <w:right w:w="108" w:type="dxa"/>
            </w:tcMar>
            <w:vAlign w:val="center"/>
            <w:hideMark/>
          </w:tcPr>
          <w:p w14:paraId="4AB1AF23" w14:textId="3F4CD980" w:rsidR="00A02FDF" w:rsidRPr="006D427B" w:rsidRDefault="00A02FDF" w:rsidP="00A02FDF">
            <w:pPr>
              <w:spacing w:before="120" w:after="120"/>
              <w:ind w:left="-57"/>
              <w:jc w:val="center"/>
              <w:rPr>
                <w:rFonts w:eastAsia="Calibri"/>
                <w:sz w:val="16"/>
                <w:szCs w:val="16"/>
              </w:rPr>
            </w:pPr>
          </w:p>
        </w:tc>
        <w:tc>
          <w:tcPr>
            <w:tcW w:w="666" w:type="dxa"/>
            <w:tcMar>
              <w:top w:w="0" w:type="dxa"/>
              <w:left w:w="108" w:type="dxa"/>
              <w:bottom w:w="0" w:type="dxa"/>
              <w:right w:w="108" w:type="dxa"/>
            </w:tcMar>
            <w:vAlign w:val="center"/>
            <w:hideMark/>
          </w:tcPr>
          <w:p w14:paraId="1D989DC5" w14:textId="1F66A175" w:rsidR="00A02FDF" w:rsidRPr="006D427B" w:rsidRDefault="00A02FDF" w:rsidP="00A02FDF">
            <w:pPr>
              <w:spacing w:before="120" w:after="120"/>
              <w:ind w:left="-57"/>
              <w:jc w:val="center"/>
              <w:rPr>
                <w:rFonts w:eastAsia="Calibri"/>
                <w:sz w:val="16"/>
                <w:szCs w:val="16"/>
              </w:rPr>
            </w:pPr>
          </w:p>
        </w:tc>
        <w:tc>
          <w:tcPr>
            <w:tcW w:w="1276" w:type="dxa"/>
            <w:tcMar>
              <w:top w:w="0" w:type="dxa"/>
              <w:left w:w="108" w:type="dxa"/>
              <w:bottom w:w="0" w:type="dxa"/>
              <w:right w:w="108" w:type="dxa"/>
            </w:tcMar>
            <w:vAlign w:val="center"/>
            <w:hideMark/>
          </w:tcPr>
          <w:p w14:paraId="02E9500F" w14:textId="19319D27" w:rsidR="00A02FDF" w:rsidRPr="006D427B" w:rsidRDefault="00A02FDF" w:rsidP="00A02FDF">
            <w:pPr>
              <w:spacing w:before="120" w:after="120"/>
              <w:ind w:left="-57"/>
              <w:jc w:val="center"/>
              <w:rPr>
                <w:rFonts w:eastAsia="Calibri"/>
                <w:sz w:val="16"/>
                <w:szCs w:val="16"/>
              </w:rPr>
            </w:pPr>
          </w:p>
        </w:tc>
        <w:tc>
          <w:tcPr>
            <w:tcW w:w="993" w:type="dxa"/>
            <w:tcMar>
              <w:top w:w="0" w:type="dxa"/>
              <w:left w:w="108" w:type="dxa"/>
              <w:bottom w:w="0" w:type="dxa"/>
              <w:right w:w="108" w:type="dxa"/>
            </w:tcMar>
            <w:vAlign w:val="center"/>
            <w:hideMark/>
          </w:tcPr>
          <w:p w14:paraId="4BB0F97C" w14:textId="3118A2FD" w:rsidR="00A02FDF" w:rsidRPr="006D427B" w:rsidRDefault="00A02FDF" w:rsidP="00A02FDF">
            <w:pPr>
              <w:spacing w:before="120" w:after="120"/>
              <w:ind w:left="-57"/>
              <w:jc w:val="center"/>
              <w:rPr>
                <w:rFonts w:eastAsia="Calibri"/>
                <w:sz w:val="16"/>
                <w:szCs w:val="16"/>
              </w:rPr>
            </w:pPr>
          </w:p>
        </w:tc>
      </w:tr>
    </w:tbl>
    <w:p w14:paraId="7C23CABB" w14:textId="262A454A" w:rsidR="00BC4790" w:rsidRPr="006D427B" w:rsidRDefault="00BC4790" w:rsidP="00BC4790">
      <w:pPr>
        <w:pStyle w:val="ListParagraph"/>
        <w:spacing w:before="120" w:after="360"/>
        <w:ind w:left="0"/>
        <w:jc w:val="center"/>
        <w:rPr>
          <w:lang w:val="en-IE"/>
        </w:rPr>
      </w:pPr>
      <w:proofErr w:type="spellStart"/>
      <w:r w:rsidRPr="006D427B">
        <w:rPr>
          <w:rFonts w:cs="Arial"/>
          <w:sz w:val="16"/>
          <w:szCs w:val="16"/>
          <w:lang w:val="en-IE"/>
        </w:rPr>
        <w:t>DSe</w:t>
      </w:r>
      <w:proofErr w:type="spellEnd"/>
      <w:r w:rsidRPr="006D427B">
        <w:rPr>
          <w:rFonts w:cs="Arial"/>
          <w:sz w:val="16"/>
          <w:szCs w:val="16"/>
          <w:lang w:val="en-IE"/>
        </w:rPr>
        <w:t xml:space="preserve"> = diagnostic sensitivity, </w:t>
      </w:r>
      <w:proofErr w:type="spellStart"/>
      <w:r w:rsidRPr="006D427B">
        <w:rPr>
          <w:rFonts w:cs="Arial"/>
          <w:sz w:val="16"/>
          <w:szCs w:val="16"/>
          <w:lang w:val="en-IE"/>
        </w:rPr>
        <w:t>DSp</w:t>
      </w:r>
      <w:proofErr w:type="spellEnd"/>
      <w:r w:rsidRPr="006D427B">
        <w:rPr>
          <w:rFonts w:cs="Arial"/>
          <w:sz w:val="16"/>
          <w:szCs w:val="16"/>
          <w:lang w:val="en-IE"/>
        </w:rPr>
        <w:t xml:space="preserve"> = diagnostic specificity, </w:t>
      </w:r>
      <w:bookmarkStart w:id="39" w:name="_Hlk34065189"/>
      <w:r w:rsidRPr="006D427B">
        <w:rPr>
          <w:rFonts w:cs="Arial"/>
          <w:i/>
          <w:iCs/>
          <w:sz w:val="16"/>
          <w:szCs w:val="16"/>
          <w:lang w:val="en-IE"/>
        </w:rPr>
        <w:t>n</w:t>
      </w:r>
      <w:r w:rsidRPr="006D427B">
        <w:rPr>
          <w:rFonts w:cs="Arial"/>
          <w:sz w:val="16"/>
          <w:szCs w:val="16"/>
          <w:lang w:val="en-IE"/>
        </w:rPr>
        <w:t xml:space="preserve"> = </w:t>
      </w:r>
      <w:bookmarkEnd w:id="39"/>
      <w:r w:rsidR="00AD44E8" w:rsidRPr="006D427B">
        <w:rPr>
          <w:rFonts w:cs="Arial"/>
          <w:sz w:val="16"/>
          <w:szCs w:val="16"/>
          <w:lang w:val="en-IE"/>
        </w:rPr>
        <w:t>number of animals used in the validation study</w:t>
      </w:r>
      <w:r w:rsidRPr="006D427B">
        <w:rPr>
          <w:rFonts w:cs="Arial"/>
          <w:sz w:val="16"/>
          <w:szCs w:val="16"/>
          <w:lang w:val="en-IE"/>
        </w:rPr>
        <w:t>,</w:t>
      </w:r>
      <w:r w:rsidRPr="006D427B">
        <w:rPr>
          <w:rFonts w:cs="Arial"/>
          <w:sz w:val="16"/>
          <w:szCs w:val="16"/>
          <w:lang w:val="en-IE"/>
        </w:rPr>
        <w:br/>
        <w:t>PCR: = polymerase chain reaction.</w:t>
      </w:r>
    </w:p>
    <w:p w14:paraId="042570FB" w14:textId="77777777" w:rsidR="00BC4790" w:rsidRPr="006D427B" w:rsidRDefault="00BC4790" w:rsidP="00BC4790">
      <w:pPr>
        <w:pStyle w:val="10"/>
        <w:rPr>
          <w:lang w:val="en-GB" w:bidi="en-US"/>
        </w:rPr>
      </w:pPr>
      <w:r w:rsidRPr="006D427B">
        <w:rPr>
          <w:lang w:val="en-GB" w:bidi="en-US"/>
        </w:rPr>
        <w:t>7.</w:t>
      </w:r>
      <w:r w:rsidRPr="006D427B">
        <w:rPr>
          <w:lang w:val="en-GB" w:bidi="en-US"/>
        </w:rPr>
        <w:tab/>
        <w:t>References</w:t>
      </w:r>
    </w:p>
    <w:p w14:paraId="63AE7B2C" w14:textId="77777777" w:rsidR="009A34D5" w:rsidRPr="006D427B" w:rsidRDefault="009A34D5" w:rsidP="009A34D5">
      <w:pPr>
        <w:pStyle w:val="REF"/>
        <w:ind w:left="0" w:firstLine="0"/>
        <w:rPr>
          <w:rFonts w:ascii="Söhne" w:hAnsi="Söhne"/>
          <w:szCs w:val="18"/>
        </w:rPr>
      </w:pPr>
      <w:r w:rsidRPr="006D427B">
        <w:rPr>
          <w:rFonts w:ascii="Söhne" w:hAnsi="Söhne"/>
          <w:smallCaps/>
          <w:szCs w:val="18"/>
        </w:rPr>
        <w:t>Andree K.B., Friedman C.S., Moore J.D. &amp; Hedrick R.P.</w:t>
      </w:r>
      <w:r w:rsidRPr="006D427B">
        <w:rPr>
          <w:rFonts w:ascii="Söhne" w:hAnsi="Söhne"/>
          <w:szCs w:val="18"/>
        </w:rPr>
        <w:t xml:space="preserve"> (2000). A polymerase chain reaction for detection of genomic DNA of a </w:t>
      </w:r>
      <w:proofErr w:type="spellStart"/>
      <w:r w:rsidRPr="006D427B">
        <w:rPr>
          <w:rFonts w:ascii="Söhne" w:hAnsi="Söhne"/>
          <w:szCs w:val="18"/>
        </w:rPr>
        <w:t>Rickettsiales</w:t>
      </w:r>
      <w:proofErr w:type="spellEnd"/>
      <w:r w:rsidRPr="006D427B">
        <w:rPr>
          <w:rFonts w:ascii="Söhne" w:hAnsi="Söhne"/>
          <w:szCs w:val="18"/>
        </w:rPr>
        <w:t>-like prokaryote associated with Withering Syndrome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szCs w:val="18"/>
        </w:rPr>
        <w:t xml:space="preserve">).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19</w:t>
      </w:r>
      <w:r w:rsidRPr="006D427B">
        <w:rPr>
          <w:rFonts w:ascii="Söhne" w:hAnsi="Söhne"/>
          <w:szCs w:val="18"/>
        </w:rPr>
        <w:t>, 213–218.</w:t>
      </w:r>
    </w:p>
    <w:p w14:paraId="37B8362E" w14:textId="77777777" w:rsidR="009A34D5" w:rsidRPr="00F2544B" w:rsidRDefault="009A34D5" w:rsidP="009A34D5">
      <w:pPr>
        <w:pStyle w:val="REF"/>
        <w:ind w:left="0" w:firstLine="0"/>
        <w:rPr>
          <w:rFonts w:ascii="Söhne" w:hAnsi="Söhne"/>
          <w:szCs w:val="18"/>
          <w:lang w:val="pt-BR"/>
        </w:rPr>
      </w:pPr>
      <w:r w:rsidRPr="006D427B">
        <w:rPr>
          <w:rFonts w:ascii="Söhne" w:hAnsi="Söhne"/>
          <w:smallCaps/>
          <w:szCs w:val="18"/>
        </w:rPr>
        <w:t>Antonio D.B., Andree K.B., Moore J.D., Friedman C.S. &amp; Hedrick R.P.</w:t>
      </w:r>
      <w:r w:rsidRPr="006D427B">
        <w:rPr>
          <w:rFonts w:ascii="Söhne" w:hAnsi="Söhne"/>
          <w:szCs w:val="18"/>
        </w:rPr>
        <w:t xml:space="preserve"> (2000). Detection of </w:t>
      </w:r>
      <w:proofErr w:type="spellStart"/>
      <w:r w:rsidRPr="006D427B">
        <w:rPr>
          <w:rFonts w:ascii="Söhne" w:hAnsi="Söhne"/>
          <w:szCs w:val="18"/>
        </w:rPr>
        <w:t>Rickettsiales</w:t>
      </w:r>
      <w:proofErr w:type="spellEnd"/>
      <w:r w:rsidRPr="006D427B">
        <w:rPr>
          <w:rFonts w:ascii="Söhne" w:hAnsi="Söhne"/>
          <w:szCs w:val="18"/>
        </w:rPr>
        <w:t xml:space="preserve">-like prokaryotes (RLPs) by </w:t>
      </w:r>
      <w:r w:rsidRPr="006D427B">
        <w:rPr>
          <w:rFonts w:ascii="Söhne" w:hAnsi="Söhne"/>
          <w:i/>
          <w:szCs w:val="18"/>
        </w:rPr>
        <w:t>in situ</w:t>
      </w:r>
      <w:r w:rsidRPr="006D427B">
        <w:rPr>
          <w:rFonts w:ascii="Söhne" w:hAnsi="Söhne"/>
          <w:szCs w:val="18"/>
        </w:rPr>
        <w:t xml:space="preserve"> hybridization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with withering syndrome. </w:t>
      </w:r>
      <w:r w:rsidRPr="00F2544B">
        <w:rPr>
          <w:rFonts w:ascii="Söhne" w:hAnsi="Söhne"/>
          <w:i/>
          <w:szCs w:val="18"/>
          <w:lang w:val="pt-BR"/>
        </w:rPr>
        <w:t>J. Invertebr. Pathol.</w:t>
      </w:r>
      <w:r w:rsidRPr="00F2544B">
        <w:rPr>
          <w:rFonts w:ascii="Söhne" w:hAnsi="Söhne"/>
          <w:szCs w:val="18"/>
          <w:lang w:val="pt-BR"/>
        </w:rPr>
        <w:t xml:space="preserve">, </w:t>
      </w:r>
      <w:r w:rsidRPr="00F2544B">
        <w:rPr>
          <w:rFonts w:ascii="Söhne" w:hAnsi="Söhne"/>
          <w:b/>
          <w:szCs w:val="18"/>
          <w:lang w:val="pt-BR"/>
        </w:rPr>
        <w:t>75</w:t>
      </w:r>
      <w:r w:rsidRPr="00F2544B">
        <w:rPr>
          <w:rFonts w:ascii="Söhne" w:hAnsi="Söhne"/>
          <w:szCs w:val="18"/>
          <w:lang w:val="pt-BR"/>
        </w:rPr>
        <w:t>, 180–182.</w:t>
      </w:r>
    </w:p>
    <w:p w14:paraId="31034B78" w14:textId="77777777" w:rsidR="009A34D5" w:rsidRPr="006D427B" w:rsidRDefault="009A34D5" w:rsidP="009A34D5">
      <w:pPr>
        <w:spacing w:line="240" w:lineRule="auto"/>
        <w:jc w:val="both"/>
        <w:rPr>
          <w:szCs w:val="18"/>
          <w:lang w:val="en-IE"/>
        </w:rPr>
      </w:pPr>
      <w:r w:rsidRPr="00F2544B">
        <w:rPr>
          <w:smallCaps/>
          <w:szCs w:val="18"/>
          <w:lang w:val="pt-BR"/>
        </w:rPr>
        <w:t>Balseiro P., Aranguren R., Gestal C., Novoa B. &amp; Figueras A. (</w:t>
      </w:r>
      <w:r w:rsidRPr="00F2544B">
        <w:rPr>
          <w:szCs w:val="18"/>
          <w:lang w:val="pt-BR"/>
        </w:rPr>
        <w:t xml:space="preserve">2006). </w:t>
      </w:r>
      <w:r w:rsidRPr="006D427B">
        <w:rPr>
          <w:i/>
          <w:szCs w:val="18"/>
          <w:lang w:val="en-IE"/>
        </w:rPr>
        <w:t>Candidatus</w:t>
      </w:r>
      <w:r w:rsidRPr="006D427B">
        <w:rPr>
          <w:szCs w:val="18"/>
          <w:lang w:val="en-IE"/>
        </w:rPr>
        <w:t xml:space="preserve"> </w:t>
      </w:r>
      <w:proofErr w:type="spellStart"/>
      <w:r w:rsidRPr="006D427B">
        <w:rPr>
          <w:szCs w:val="18"/>
          <w:lang w:val="en-IE"/>
        </w:rPr>
        <w:t>Xenohaliotis</w:t>
      </w:r>
      <w:proofErr w:type="spellEnd"/>
      <w:r w:rsidRPr="006D427B">
        <w:rPr>
          <w:szCs w:val="18"/>
          <w:lang w:val="en-IE"/>
        </w:rPr>
        <w:t xml:space="preserve"> californiensis and </w:t>
      </w:r>
      <w:proofErr w:type="spellStart"/>
      <w:r w:rsidRPr="006D427B">
        <w:rPr>
          <w:i/>
          <w:szCs w:val="18"/>
          <w:lang w:val="en-IE"/>
        </w:rPr>
        <w:t>Haplosporidium</w:t>
      </w:r>
      <w:proofErr w:type="spellEnd"/>
      <w:r w:rsidRPr="006D427B">
        <w:rPr>
          <w:i/>
          <w:szCs w:val="18"/>
          <w:lang w:val="en-IE"/>
        </w:rPr>
        <w:t xml:space="preserve"> </w:t>
      </w:r>
      <w:proofErr w:type="spellStart"/>
      <w:r w:rsidRPr="006D427B">
        <w:rPr>
          <w:i/>
          <w:szCs w:val="18"/>
          <w:lang w:val="en-IE"/>
        </w:rPr>
        <w:t>montforti</w:t>
      </w:r>
      <w:proofErr w:type="spellEnd"/>
      <w:r w:rsidRPr="006D427B">
        <w:rPr>
          <w:szCs w:val="18"/>
          <w:lang w:val="en-IE"/>
        </w:rPr>
        <w:t xml:space="preserve"> associated with mortalities of abalone </w:t>
      </w:r>
      <w:r w:rsidRPr="006D427B">
        <w:rPr>
          <w:i/>
          <w:szCs w:val="18"/>
          <w:lang w:val="en-IE"/>
        </w:rPr>
        <w:t>Haliotis tuberculata</w:t>
      </w:r>
      <w:r w:rsidRPr="006D427B">
        <w:rPr>
          <w:szCs w:val="18"/>
          <w:lang w:val="en-IE"/>
        </w:rPr>
        <w:t xml:space="preserve"> cultured in Europe. </w:t>
      </w:r>
      <w:r w:rsidRPr="006D427B">
        <w:rPr>
          <w:i/>
          <w:szCs w:val="18"/>
          <w:lang w:val="en-IE"/>
        </w:rPr>
        <w:t>Aquaculture</w:t>
      </w:r>
      <w:r w:rsidRPr="006D427B">
        <w:rPr>
          <w:szCs w:val="18"/>
          <w:lang w:val="en-IE"/>
        </w:rPr>
        <w:t xml:space="preserve">, </w:t>
      </w:r>
      <w:r w:rsidRPr="006D427B">
        <w:rPr>
          <w:b/>
          <w:szCs w:val="18"/>
          <w:lang w:val="en-IE"/>
        </w:rPr>
        <w:t>258</w:t>
      </w:r>
      <w:r w:rsidRPr="006D427B">
        <w:rPr>
          <w:szCs w:val="18"/>
          <w:lang w:val="en-IE"/>
        </w:rPr>
        <w:t>, 63–72.</w:t>
      </w:r>
    </w:p>
    <w:p w14:paraId="4F83AA2E" w14:textId="77777777" w:rsidR="002861FF" w:rsidRPr="006D427B" w:rsidRDefault="002861FF" w:rsidP="002861FF">
      <w:pPr>
        <w:pStyle w:val="REF"/>
        <w:ind w:left="0" w:firstLine="0"/>
        <w:rPr>
          <w:rFonts w:ascii="Söhne" w:hAnsi="Söhne"/>
          <w:szCs w:val="18"/>
          <w:lang w:val="es-ES"/>
        </w:rPr>
      </w:pPr>
      <w:r w:rsidRPr="006D427B">
        <w:rPr>
          <w:rFonts w:ascii="Söhne" w:hAnsi="Söhne"/>
          <w:smallCaps/>
          <w:szCs w:val="18"/>
          <w:lang w:val="pl-PL"/>
        </w:rPr>
        <w:t>Braid B.A., Moore J.D., Robbins T.T., Hedrick R.P., Tjeerdema R.S. &amp; Friedman C.S. (</w:t>
      </w:r>
      <w:r w:rsidRPr="006D427B">
        <w:rPr>
          <w:rFonts w:ascii="Söhne" w:hAnsi="Söhne"/>
          <w:szCs w:val="18"/>
          <w:lang w:val="pl-PL"/>
        </w:rPr>
        <w:t xml:space="preserve">2005). </w:t>
      </w:r>
      <w:r w:rsidRPr="006D427B">
        <w:rPr>
          <w:rFonts w:ascii="Söhne" w:hAnsi="Söhne"/>
          <w:szCs w:val="18"/>
        </w:rPr>
        <w:t xml:space="preserve">Health and survival of red abalone, </w:t>
      </w:r>
      <w:r w:rsidRPr="006D427B">
        <w:rPr>
          <w:rFonts w:ascii="Söhne" w:hAnsi="Söhne"/>
          <w:i/>
          <w:szCs w:val="18"/>
        </w:rPr>
        <w:t>Haliotis rufescens</w:t>
      </w:r>
      <w:r w:rsidRPr="006D427B">
        <w:rPr>
          <w:rFonts w:ascii="Söhne" w:hAnsi="Söhne"/>
          <w:szCs w:val="18"/>
        </w:rPr>
        <w:t>, under varying temperature, food supply and exposure to the agent of withering syndrome.</w:t>
      </w:r>
      <w:r w:rsidRPr="006D427B">
        <w:rPr>
          <w:rFonts w:ascii="Söhne" w:hAnsi="Söhne"/>
          <w:i/>
          <w:szCs w:val="18"/>
        </w:rPr>
        <w:t xml:space="preserve"> </w:t>
      </w:r>
      <w:r w:rsidRPr="006D427B">
        <w:rPr>
          <w:rFonts w:ascii="Söhne" w:hAnsi="Söhne"/>
          <w:i/>
          <w:szCs w:val="18"/>
          <w:lang w:val="es-ES"/>
        </w:rPr>
        <w:t xml:space="preserve">J. </w:t>
      </w:r>
      <w:proofErr w:type="spellStart"/>
      <w:r w:rsidRPr="006D427B">
        <w:rPr>
          <w:rFonts w:ascii="Söhne" w:hAnsi="Söhne"/>
          <w:i/>
          <w:szCs w:val="18"/>
          <w:lang w:val="es-ES"/>
        </w:rPr>
        <w:t>Invertebr</w:t>
      </w:r>
      <w:proofErr w:type="spellEnd"/>
      <w:r w:rsidRPr="006D427B">
        <w:rPr>
          <w:rFonts w:ascii="Söhne" w:hAnsi="Söhne"/>
          <w:i/>
          <w:szCs w:val="18"/>
          <w:lang w:val="es-ES"/>
        </w:rPr>
        <w:t xml:space="preserve">. </w:t>
      </w:r>
      <w:proofErr w:type="spellStart"/>
      <w:r w:rsidRPr="006D427B">
        <w:rPr>
          <w:rFonts w:ascii="Söhne" w:hAnsi="Söhne"/>
          <w:i/>
          <w:szCs w:val="18"/>
          <w:lang w:val="es-ES"/>
        </w:rPr>
        <w:t>Pathol</w:t>
      </w:r>
      <w:proofErr w:type="spellEnd"/>
      <w:r w:rsidRPr="006D427B">
        <w:rPr>
          <w:rFonts w:ascii="Söhne" w:hAnsi="Söhne"/>
          <w:i/>
          <w:szCs w:val="18"/>
          <w:lang w:val="es-ES"/>
        </w:rPr>
        <w:t>.,</w:t>
      </w:r>
      <w:r w:rsidRPr="006D427B">
        <w:rPr>
          <w:rFonts w:ascii="Söhne" w:hAnsi="Söhne"/>
          <w:szCs w:val="18"/>
          <w:lang w:val="es-ES"/>
        </w:rPr>
        <w:t xml:space="preserve"> </w:t>
      </w:r>
      <w:r w:rsidRPr="006D427B">
        <w:rPr>
          <w:rFonts w:ascii="Söhne" w:hAnsi="Söhne"/>
          <w:b/>
          <w:szCs w:val="18"/>
          <w:lang w:val="es-ES"/>
        </w:rPr>
        <w:t>89</w:t>
      </w:r>
      <w:r w:rsidRPr="006D427B">
        <w:rPr>
          <w:rFonts w:ascii="Söhne" w:hAnsi="Söhne"/>
          <w:szCs w:val="18"/>
          <w:lang w:val="es-ES"/>
        </w:rPr>
        <w:t xml:space="preserve">, 219–231. </w:t>
      </w:r>
    </w:p>
    <w:p w14:paraId="37B3B1C5" w14:textId="77777777" w:rsidR="002861FF" w:rsidRPr="006D427B" w:rsidRDefault="002861FF" w:rsidP="002861FF">
      <w:pPr>
        <w:pStyle w:val="Para3"/>
        <w:ind w:left="0"/>
        <w:rPr>
          <w:lang w:val="es-ES"/>
        </w:rPr>
      </w:pPr>
      <w:proofErr w:type="spellStart"/>
      <w:r w:rsidRPr="370A01A3">
        <w:rPr>
          <w:smallCaps/>
          <w:lang w:val="es-ES"/>
        </w:rPr>
        <w:t>Cicala</w:t>
      </w:r>
      <w:proofErr w:type="spellEnd"/>
      <w:r w:rsidRPr="370A01A3">
        <w:rPr>
          <w:smallCaps/>
          <w:lang w:val="es-ES"/>
        </w:rPr>
        <w:t xml:space="preserve"> F., Moore J.D., </w:t>
      </w:r>
      <w:proofErr w:type="spellStart"/>
      <w:r w:rsidRPr="370A01A3">
        <w:rPr>
          <w:smallCaps/>
          <w:lang w:val="es-ES"/>
        </w:rPr>
        <w:t>Caceres</w:t>
      </w:r>
      <w:proofErr w:type="spellEnd"/>
      <w:r w:rsidRPr="370A01A3">
        <w:rPr>
          <w:smallCaps/>
          <w:lang w:val="es-ES"/>
        </w:rPr>
        <w:t xml:space="preserve">-Martinez J., Del Rio-Portilla M.A., </w:t>
      </w:r>
      <w:proofErr w:type="spellStart"/>
      <w:r w:rsidRPr="370A01A3">
        <w:rPr>
          <w:smallCaps/>
          <w:lang w:val="es-ES"/>
        </w:rPr>
        <w:t>Hernandex-Rodrigues</w:t>
      </w:r>
      <w:proofErr w:type="spellEnd"/>
      <w:r w:rsidRPr="370A01A3">
        <w:rPr>
          <w:smallCaps/>
          <w:lang w:val="es-ES"/>
        </w:rPr>
        <w:t xml:space="preserve"> M., </w:t>
      </w:r>
      <w:proofErr w:type="spellStart"/>
      <w:r w:rsidRPr="370A01A3">
        <w:rPr>
          <w:smallCaps/>
          <w:lang w:val="es-ES"/>
        </w:rPr>
        <w:t>Vasquez_Yeomans</w:t>
      </w:r>
      <w:proofErr w:type="spellEnd"/>
      <w:r w:rsidRPr="370A01A3">
        <w:rPr>
          <w:smallCaps/>
          <w:lang w:val="es-ES"/>
        </w:rPr>
        <w:t xml:space="preserve"> R. &amp; Rocha-Olivares A</w:t>
      </w:r>
      <w:r w:rsidRPr="370A01A3">
        <w:rPr>
          <w:lang w:val="es-ES"/>
        </w:rPr>
        <w:t xml:space="preserve">. (2017). </w:t>
      </w:r>
      <w:proofErr w:type="spellStart"/>
      <w:r w:rsidRPr="370A01A3">
        <w:rPr>
          <w:lang w:val="es-ES"/>
        </w:rPr>
        <w:t>Multigenic</w:t>
      </w:r>
      <w:proofErr w:type="spellEnd"/>
      <w:r w:rsidRPr="370A01A3">
        <w:rPr>
          <w:lang w:val="es-ES"/>
        </w:rPr>
        <w:t xml:space="preserve"> </w:t>
      </w:r>
      <w:proofErr w:type="spellStart"/>
      <w:r w:rsidRPr="370A01A3">
        <w:rPr>
          <w:lang w:val="es-ES"/>
        </w:rPr>
        <w:t>characterisation</w:t>
      </w:r>
      <w:proofErr w:type="spellEnd"/>
      <w:r w:rsidRPr="370A01A3">
        <w:rPr>
          <w:lang w:val="es-ES"/>
        </w:rPr>
        <w:t xml:space="preserve"> of “</w:t>
      </w:r>
      <w:proofErr w:type="spellStart"/>
      <w:r w:rsidRPr="370A01A3">
        <w:rPr>
          <w:i/>
          <w:iCs/>
          <w:lang w:val="es-ES"/>
        </w:rPr>
        <w:t>Çandidatus</w:t>
      </w:r>
      <w:proofErr w:type="spellEnd"/>
      <w:r w:rsidRPr="370A01A3">
        <w:rPr>
          <w:lang w:val="es-ES"/>
        </w:rPr>
        <w:t xml:space="preserve"> Xenohaliotis californiensis”. </w:t>
      </w:r>
      <w:proofErr w:type="spellStart"/>
      <w:r w:rsidRPr="370A01A3">
        <w:rPr>
          <w:i/>
          <w:iCs/>
          <w:lang w:val="es-ES"/>
        </w:rPr>
        <w:t>Int</w:t>
      </w:r>
      <w:proofErr w:type="spellEnd"/>
      <w:r w:rsidRPr="370A01A3">
        <w:rPr>
          <w:i/>
          <w:iCs/>
          <w:lang w:val="es-ES"/>
        </w:rPr>
        <w:t xml:space="preserve">. J. </w:t>
      </w:r>
      <w:proofErr w:type="spellStart"/>
      <w:r w:rsidRPr="370A01A3">
        <w:rPr>
          <w:i/>
          <w:iCs/>
          <w:lang w:val="es-ES"/>
        </w:rPr>
        <w:t>Syst</w:t>
      </w:r>
      <w:proofErr w:type="spellEnd"/>
      <w:r w:rsidRPr="370A01A3">
        <w:rPr>
          <w:i/>
          <w:iCs/>
          <w:lang w:val="es-ES"/>
        </w:rPr>
        <w:t xml:space="preserve">. </w:t>
      </w:r>
      <w:proofErr w:type="spellStart"/>
      <w:r w:rsidRPr="370A01A3">
        <w:rPr>
          <w:i/>
          <w:iCs/>
          <w:lang w:val="es-ES"/>
        </w:rPr>
        <w:t>Evol</w:t>
      </w:r>
      <w:proofErr w:type="spellEnd"/>
      <w:r w:rsidRPr="370A01A3">
        <w:rPr>
          <w:i/>
          <w:iCs/>
          <w:lang w:val="es-ES"/>
        </w:rPr>
        <w:t xml:space="preserve">. </w:t>
      </w:r>
      <w:proofErr w:type="spellStart"/>
      <w:r w:rsidRPr="370A01A3">
        <w:rPr>
          <w:i/>
          <w:iCs/>
          <w:lang w:val="es-ES"/>
        </w:rPr>
        <w:t>Microbiol</w:t>
      </w:r>
      <w:proofErr w:type="spellEnd"/>
      <w:r w:rsidRPr="370A01A3">
        <w:rPr>
          <w:i/>
          <w:iCs/>
          <w:lang w:val="es-ES"/>
        </w:rPr>
        <w:t>.</w:t>
      </w:r>
      <w:r w:rsidRPr="370A01A3">
        <w:rPr>
          <w:lang w:val="es-ES"/>
        </w:rPr>
        <w:t xml:space="preserve">, </w:t>
      </w:r>
      <w:r w:rsidRPr="370A01A3">
        <w:rPr>
          <w:b/>
          <w:lang w:val="es-ES"/>
        </w:rPr>
        <w:t>67</w:t>
      </w:r>
      <w:r w:rsidRPr="370A01A3">
        <w:rPr>
          <w:lang w:val="es-ES"/>
        </w:rPr>
        <w:t>, 42–49.</w:t>
      </w:r>
    </w:p>
    <w:p w14:paraId="0924746A" w14:textId="77777777" w:rsidR="002861FF" w:rsidRPr="006D427B" w:rsidRDefault="002861FF" w:rsidP="002861FF">
      <w:pPr>
        <w:pStyle w:val="REF"/>
        <w:ind w:left="0" w:firstLine="0"/>
        <w:rPr>
          <w:rFonts w:ascii="Söhne" w:hAnsi="Söhne"/>
          <w:szCs w:val="18"/>
        </w:rPr>
      </w:pPr>
      <w:proofErr w:type="spellStart"/>
      <w:r w:rsidRPr="006D427B">
        <w:rPr>
          <w:rFonts w:ascii="Söhne" w:hAnsi="Söhne"/>
          <w:smallCaps/>
          <w:szCs w:val="18"/>
          <w:lang w:val="es-ES"/>
        </w:rPr>
        <w:t>Dumler</w:t>
      </w:r>
      <w:proofErr w:type="spellEnd"/>
      <w:r w:rsidRPr="006D427B">
        <w:rPr>
          <w:rFonts w:ascii="Söhne" w:hAnsi="Söhne"/>
          <w:smallCaps/>
          <w:szCs w:val="18"/>
          <w:lang w:val="es-ES"/>
        </w:rPr>
        <w:t xml:space="preserve"> J.S., </w:t>
      </w:r>
      <w:proofErr w:type="spellStart"/>
      <w:r w:rsidRPr="006D427B">
        <w:rPr>
          <w:rFonts w:ascii="Söhne" w:hAnsi="Söhne"/>
          <w:smallCaps/>
          <w:szCs w:val="18"/>
          <w:lang w:val="es-ES"/>
        </w:rPr>
        <w:t>Barbet</w:t>
      </w:r>
      <w:proofErr w:type="spellEnd"/>
      <w:r w:rsidRPr="006D427B">
        <w:rPr>
          <w:rFonts w:ascii="Söhne" w:hAnsi="Söhne"/>
          <w:smallCaps/>
          <w:szCs w:val="18"/>
          <w:lang w:val="es-ES"/>
        </w:rPr>
        <w:t xml:space="preserve"> A.F., </w:t>
      </w:r>
      <w:proofErr w:type="spellStart"/>
      <w:r w:rsidRPr="006D427B">
        <w:rPr>
          <w:rFonts w:ascii="Söhne" w:hAnsi="Söhne"/>
          <w:smallCaps/>
          <w:szCs w:val="18"/>
          <w:lang w:val="es-ES"/>
        </w:rPr>
        <w:t>Bekker</w:t>
      </w:r>
      <w:proofErr w:type="spellEnd"/>
      <w:r w:rsidRPr="006D427B">
        <w:rPr>
          <w:rFonts w:ascii="Söhne" w:hAnsi="Söhne"/>
          <w:smallCaps/>
          <w:szCs w:val="18"/>
          <w:lang w:val="es-ES"/>
        </w:rPr>
        <w:t xml:space="preserve"> C.P.J., </w:t>
      </w:r>
      <w:proofErr w:type="spellStart"/>
      <w:r w:rsidRPr="006D427B">
        <w:rPr>
          <w:rFonts w:ascii="Söhne" w:hAnsi="Söhne"/>
          <w:smallCaps/>
          <w:szCs w:val="18"/>
          <w:lang w:val="es-ES"/>
        </w:rPr>
        <w:t>Dasch</w:t>
      </w:r>
      <w:proofErr w:type="spellEnd"/>
      <w:r w:rsidRPr="006D427B">
        <w:rPr>
          <w:rFonts w:ascii="Söhne" w:hAnsi="Söhne"/>
          <w:smallCaps/>
          <w:szCs w:val="18"/>
          <w:lang w:val="es-ES"/>
        </w:rPr>
        <w:t xml:space="preserve"> G.A., Palmer G.H., Ray S.C., </w:t>
      </w:r>
      <w:proofErr w:type="spellStart"/>
      <w:r w:rsidRPr="006D427B">
        <w:rPr>
          <w:rFonts w:ascii="Söhne" w:hAnsi="Söhne"/>
          <w:smallCaps/>
          <w:szCs w:val="18"/>
          <w:lang w:val="es-ES"/>
        </w:rPr>
        <w:t>Rikihisa</w:t>
      </w:r>
      <w:proofErr w:type="spellEnd"/>
      <w:r w:rsidRPr="006D427B">
        <w:rPr>
          <w:rFonts w:ascii="Söhne" w:hAnsi="Söhne"/>
          <w:smallCaps/>
          <w:szCs w:val="18"/>
          <w:lang w:val="es-ES"/>
        </w:rPr>
        <w:t xml:space="preserve"> Y. &amp; </w:t>
      </w:r>
      <w:proofErr w:type="spellStart"/>
      <w:r w:rsidRPr="006D427B">
        <w:rPr>
          <w:rFonts w:ascii="Söhne" w:hAnsi="Söhne"/>
          <w:smallCaps/>
          <w:szCs w:val="18"/>
          <w:lang w:val="es-ES"/>
        </w:rPr>
        <w:t>Rurangirwa</w:t>
      </w:r>
      <w:proofErr w:type="spellEnd"/>
      <w:r w:rsidRPr="006D427B">
        <w:rPr>
          <w:rFonts w:ascii="Söhne" w:hAnsi="Söhne"/>
          <w:smallCaps/>
          <w:szCs w:val="18"/>
          <w:lang w:val="es-ES"/>
        </w:rPr>
        <w:t xml:space="preserve"> F.R.</w:t>
      </w:r>
      <w:r w:rsidRPr="006D427B">
        <w:rPr>
          <w:rFonts w:ascii="Söhne" w:hAnsi="Söhne"/>
          <w:szCs w:val="18"/>
          <w:lang w:val="es-ES"/>
        </w:rPr>
        <w:t xml:space="preserve"> (2001). </w:t>
      </w:r>
      <w:r w:rsidRPr="006D427B">
        <w:rPr>
          <w:rFonts w:ascii="Söhne" w:hAnsi="Söhne"/>
          <w:szCs w:val="18"/>
        </w:rPr>
        <w:t xml:space="preserve">Reorganization of general in the families Rickettsiaceae and </w:t>
      </w:r>
      <w:proofErr w:type="spellStart"/>
      <w:r w:rsidRPr="006D427B">
        <w:rPr>
          <w:rFonts w:ascii="Söhne" w:hAnsi="Söhne"/>
          <w:szCs w:val="18"/>
        </w:rPr>
        <w:t>Anaplasmataceae</w:t>
      </w:r>
      <w:proofErr w:type="spellEnd"/>
      <w:r w:rsidRPr="006D427B">
        <w:rPr>
          <w:rFonts w:ascii="Söhne" w:hAnsi="Söhne"/>
          <w:szCs w:val="18"/>
        </w:rPr>
        <w:t xml:space="preserve"> in the order </w:t>
      </w:r>
      <w:proofErr w:type="spellStart"/>
      <w:r w:rsidRPr="006D427B">
        <w:rPr>
          <w:rFonts w:ascii="Söhne" w:hAnsi="Söhne"/>
          <w:szCs w:val="18"/>
        </w:rPr>
        <w:t>Rickettsiales</w:t>
      </w:r>
      <w:proofErr w:type="spellEnd"/>
      <w:r w:rsidRPr="006D427B">
        <w:rPr>
          <w:rFonts w:ascii="Söhne" w:hAnsi="Söhne"/>
          <w:szCs w:val="18"/>
        </w:rPr>
        <w:t xml:space="preserve">: unification of some species of </w:t>
      </w:r>
      <w:proofErr w:type="spellStart"/>
      <w:r w:rsidRPr="006D427B">
        <w:rPr>
          <w:rFonts w:ascii="Söhne" w:hAnsi="Söhne"/>
          <w:i/>
          <w:szCs w:val="18"/>
        </w:rPr>
        <w:t>Ehrlichia</w:t>
      </w:r>
      <w:proofErr w:type="spellEnd"/>
      <w:r w:rsidRPr="006D427B">
        <w:rPr>
          <w:rFonts w:ascii="Söhne" w:hAnsi="Söhne"/>
          <w:szCs w:val="18"/>
        </w:rPr>
        <w:t xml:space="preserve"> with </w:t>
      </w:r>
      <w:proofErr w:type="spellStart"/>
      <w:r w:rsidRPr="006D427B">
        <w:rPr>
          <w:rFonts w:ascii="Söhne" w:hAnsi="Söhne"/>
          <w:i/>
          <w:szCs w:val="18"/>
        </w:rPr>
        <w:t>Anaplasma</w:t>
      </w:r>
      <w:proofErr w:type="spellEnd"/>
      <w:r w:rsidRPr="006D427B">
        <w:rPr>
          <w:rFonts w:ascii="Söhne" w:hAnsi="Söhne"/>
          <w:szCs w:val="18"/>
        </w:rPr>
        <w:t xml:space="preserve">, </w:t>
      </w:r>
      <w:proofErr w:type="spellStart"/>
      <w:r w:rsidRPr="006D427B">
        <w:rPr>
          <w:rFonts w:ascii="Söhne" w:hAnsi="Söhne"/>
          <w:i/>
          <w:szCs w:val="18"/>
        </w:rPr>
        <w:t>Cowdria</w:t>
      </w:r>
      <w:proofErr w:type="spellEnd"/>
      <w:r w:rsidRPr="006D427B">
        <w:rPr>
          <w:rFonts w:ascii="Söhne" w:hAnsi="Söhne"/>
          <w:szCs w:val="18"/>
        </w:rPr>
        <w:t xml:space="preserve"> with </w:t>
      </w:r>
      <w:proofErr w:type="spellStart"/>
      <w:r w:rsidRPr="006D427B">
        <w:rPr>
          <w:rFonts w:ascii="Söhne" w:hAnsi="Söhne"/>
          <w:i/>
          <w:szCs w:val="18"/>
        </w:rPr>
        <w:t>Ehrlichia</w:t>
      </w:r>
      <w:proofErr w:type="spellEnd"/>
      <w:r w:rsidRPr="006D427B">
        <w:rPr>
          <w:rFonts w:ascii="Söhne" w:hAnsi="Söhne"/>
          <w:szCs w:val="18"/>
        </w:rPr>
        <w:t xml:space="preserve"> and </w:t>
      </w:r>
      <w:proofErr w:type="spellStart"/>
      <w:r w:rsidRPr="006D427B">
        <w:rPr>
          <w:rFonts w:ascii="Söhne" w:hAnsi="Söhne"/>
          <w:i/>
          <w:szCs w:val="18"/>
        </w:rPr>
        <w:t>Ehrlichia</w:t>
      </w:r>
      <w:proofErr w:type="spellEnd"/>
      <w:r w:rsidRPr="006D427B">
        <w:rPr>
          <w:rFonts w:ascii="Söhne" w:hAnsi="Söhne"/>
          <w:szCs w:val="18"/>
        </w:rPr>
        <w:t xml:space="preserve"> with </w:t>
      </w:r>
      <w:proofErr w:type="spellStart"/>
      <w:r w:rsidRPr="006D427B">
        <w:rPr>
          <w:rFonts w:ascii="Söhne" w:hAnsi="Söhne"/>
          <w:i/>
          <w:szCs w:val="18"/>
        </w:rPr>
        <w:t>Neorickettsia</w:t>
      </w:r>
      <w:proofErr w:type="spellEnd"/>
      <w:r w:rsidRPr="006D427B">
        <w:rPr>
          <w:rFonts w:ascii="Söhne" w:hAnsi="Söhne"/>
          <w:szCs w:val="18"/>
        </w:rPr>
        <w:t xml:space="preserve">, descriptions of six new species combinations and designation of </w:t>
      </w:r>
      <w:proofErr w:type="spellStart"/>
      <w:r w:rsidRPr="006D427B">
        <w:rPr>
          <w:rFonts w:ascii="Söhne" w:hAnsi="Söhne"/>
          <w:i/>
          <w:szCs w:val="18"/>
        </w:rPr>
        <w:t>Ehrlichia</w:t>
      </w:r>
      <w:proofErr w:type="spellEnd"/>
      <w:r w:rsidRPr="006D427B">
        <w:rPr>
          <w:rFonts w:ascii="Söhne" w:hAnsi="Söhne"/>
          <w:i/>
          <w:szCs w:val="18"/>
        </w:rPr>
        <w:t xml:space="preserve"> </w:t>
      </w:r>
      <w:proofErr w:type="spellStart"/>
      <w:r w:rsidRPr="006D427B">
        <w:rPr>
          <w:rFonts w:ascii="Söhne" w:hAnsi="Söhne"/>
          <w:i/>
          <w:szCs w:val="18"/>
        </w:rPr>
        <w:t>equi</w:t>
      </w:r>
      <w:proofErr w:type="spellEnd"/>
      <w:r w:rsidRPr="006D427B">
        <w:rPr>
          <w:rFonts w:ascii="Söhne" w:hAnsi="Söhne"/>
          <w:szCs w:val="18"/>
        </w:rPr>
        <w:t xml:space="preserve"> and ‘HGE agent’ as subjective synonyms of </w:t>
      </w:r>
      <w:proofErr w:type="spellStart"/>
      <w:r w:rsidRPr="006D427B">
        <w:rPr>
          <w:rFonts w:ascii="Söhne" w:hAnsi="Söhne"/>
          <w:szCs w:val="18"/>
        </w:rPr>
        <w:t>E</w:t>
      </w:r>
      <w:r w:rsidRPr="006D427B">
        <w:rPr>
          <w:rFonts w:ascii="Söhne" w:hAnsi="Söhne"/>
          <w:i/>
          <w:szCs w:val="18"/>
        </w:rPr>
        <w:t>hrlichia</w:t>
      </w:r>
      <w:proofErr w:type="spellEnd"/>
      <w:r w:rsidRPr="006D427B">
        <w:rPr>
          <w:rFonts w:ascii="Söhne" w:hAnsi="Söhne"/>
          <w:i/>
          <w:szCs w:val="18"/>
        </w:rPr>
        <w:t xml:space="preserve"> </w:t>
      </w:r>
      <w:proofErr w:type="spellStart"/>
      <w:r w:rsidRPr="006D427B">
        <w:rPr>
          <w:rFonts w:ascii="Söhne" w:hAnsi="Söhne"/>
          <w:i/>
          <w:szCs w:val="18"/>
        </w:rPr>
        <w:t>phagocytophila</w:t>
      </w:r>
      <w:proofErr w:type="spellEnd"/>
      <w:r w:rsidRPr="006D427B">
        <w:rPr>
          <w:rFonts w:ascii="Söhne" w:hAnsi="Söhne"/>
          <w:i/>
          <w:szCs w:val="18"/>
        </w:rPr>
        <w:t xml:space="preserve">. Int. J. System. </w:t>
      </w:r>
      <w:proofErr w:type="spellStart"/>
      <w:r w:rsidRPr="006D427B">
        <w:rPr>
          <w:rFonts w:ascii="Söhne" w:hAnsi="Söhne"/>
          <w:i/>
          <w:szCs w:val="18"/>
        </w:rPr>
        <w:t>Evol</w:t>
      </w:r>
      <w:proofErr w:type="spellEnd"/>
      <w:r w:rsidRPr="006D427B">
        <w:rPr>
          <w:rFonts w:ascii="Söhne" w:hAnsi="Söhne"/>
          <w:i/>
          <w:szCs w:val="18"/>
        </w:rPr>
        <w:t xml:space="preserve">. </w:t>
      </w:r>
      <w:proofErr w:type="spellStart"/>
      <w:r w:rsidRPr="006D427B">
        <w:rPr>
          <w:rFonts w:ascii="Söhne" w:hAnsi="Söhne"/>
          <w:i/>
          <w:szCs w:val="18"/>
        </w:rPr>
        <w:t>Microbiol</w:t>
      </w:r>
      <w:proofErr w:type="spellEnd"/>
      <w:r w:rsidRPr="006D427B">
        <w:rPr>
          <w:rFonts w:ascii="Söhne" w:hAnsi="Söhne"/>
          <w:szCs w:val="18"/>
        </w:rPr>
        <w:t xml:space="preserve">., </w:t>
      </w:r>
      <w:r w:rsidRPr="006D427B">
        <w:rPr>
          <w:rFonts w:ascii="Söhne" w:hAnsi="Söhne"/>
          <w:b/>
          <w:szCs w:val="18"/>
        </w:rPr>
        <w:t>51</w:t>
      </w:r>
      <w:r w:rsidRPr="006D427B">
        <w:rPr>
          <w:rFonts w:ascii="Söhne" w:hAnsi="Söhne"/>
          <w:szCs w:val="18"/>
        </w:rPr>
        <w:t>, 2145–2165.</w:t>
      </w:r>
    </w:p>
    <w:p w14:paraId="5692C7D8" w14:textId="77777777" w:rsidR="002861FF" w:rsidRPr="006D427B" w:rsidRDefault="002861FF" w:rsidP="002861FF">
      <w:pPr>
        <w:pStyle w:val="REF"/>
        <w:ind w:left="0" w:firstLine="0"/>
        <w:rPr>
          <w:rFonts w:ascii="Söhne" w:hAnsi="Söhne"/>
          <w:szCs w:val="18"/>
        </w:rPr>
      </w:pPr>
      <w:r w:rsidRPr="006D427B">
        <w:rPr>
          <w:rFonts w:ascii="Söhne" w:hAnsi="Söhne"/>
          <w:smallCaps/>
          <w:szCs w:val="18"/>
        </w:rPr>
        <w:t>Friedman C.S., Andree K.B., Beauchamp K.A., Moore J.D., Robbins T.T., Shields J.D. &amp; Hedrick R.P.</w:t>
      </w:r>
      <w:r w:rsidRPr="006D427B">
        <w:rPr>
          <w:rFonts w:ascii="Söhne" w:hAnsi="Söhne"/>
          <w:szCs w:val="18"/>
        </w:rPr>
        <w:t xml:space="preserve"> (2000). “</w:t>
      </w:r>
      <w:r w:rsidRPr="006D427B">
        <w:rPr>
          <w:rFonts w:ascii="Söhne" w:hAnsi="Söhne"/>
          <w:i/>
          <w:szCs w:val="18"/>
        </w:rPr>
        <w:t>Candidatus</w:t>
      </w:r>
      <w:r w:rsidRPr="006D427B">
        <w:rPr>
          <w:rFonts w:ascii="Söhne" w:hAnsi="Söhne"/>
          <w:szCs w:val="18"/>
        </w:rPr>
        <w:t xml:space="preserve"> Xenohaliotis californiensis” a newly described pathogen of abalone, </w:t>
      </w:r>
      <w:r w:rsidRPr="006D427B">
        <w:rPr>
          <w:rFonts w:ascii="Söhne" w:hAnsi="Söhne"/>
          <w:i/>
          <w:szCs w:val="18"/>
        </w:rPr>
        <w:t>Haliotis</w:t>
      </w:r>
      <w:r w:rsidRPr="006D427B">
        <w:rPr>
          <w:rFonts w:ascii="Söhne" w:hAnsi="Söhne"/>
          <w:szCs w:val="18"/>
        </w:rPr>
        <w:t xml:space="preserve"> spp., along the west coast of North America.</w:t>
      </w:r>
      <w:r w:rsidRPr="006D427B">
        <w:rPr>
          <w:rFonts w:ascii="Söhne" w:hAnsi="Söhne"/>
          <w:i/>
          <w:szCs w:val="18"/>
        </w:rPr>
        <w:t xml:space="preserve"> Int. J. Syst. </w:t>
      </w:r>
      <w:proofErr w:type="spellStart"/>
      <w:r w:rsidRPr="006D427B">
        <w:rPr>
          <w:rFonts w:ascii="Söhne" w:hAnsi="Söhne"/>
          <w:i/>
          <w:szCs w:val="18"/>
        </w:rPr>
        <w:t>Evol</w:t>
      </w:r>
      <w:proofErr w:type="spellEnd"/>
      <w:r w:rsidRPr="006D427B">
        <w:rPr>
          <w:rFonts w:ascii="Söhne" w:hAnsi="Söhne"/>
          <w:i/>
          <w:szCs w:val="18"/>
        </w:rPr>
        <w:t xml:space="preserve">. </w:t>
      </w:r>
      <w:proofErr w:type="spellStart"/>
      <w:r w:rsidRPr="006D427B">
        <w:rPr>
          <w:rFonts w:ascii="Söhne" w:hAnsi="Söhne"/>
          <w:i/>
          <w:szCs w:val="18"/>
        </w:rPr>
        <w:t>Microbiol</w:t>
      </w:r>
      <w:proofErr w:type="spellEnd"/>
      <w:r w:rsidRPr="006D427B">
        <w:rPr>
          <w:rFonts w:ascii="Söhne" w:hAnsi="Söhne"/>
          <w:i/>
          <w:szCs w:val="18"/>
        </w:rPr>
        <w:t>.,</w:t>
      </w:r>
      <w:r w:rsidRPr="006D427B">
        <w:rPr>
          <w:rFonts w:ascii="Söhne" w:hAnsi="Söhne"/>
          <w:szCs w:val="18"/>
        </w:rPr>
        <w:t xml:space="preserve"> </w:t>
      </w:r>
      <w:r w:rsidRPr="006D427B">
        <w:rPr>
          <w:rFonts w:ascii="Söhne" w:hAnsi="Söhne"/>
          <w:b/>
          <w:szCs w:val="18"/>
        </w:rPr>
        <w:t>50</w:t>
      </w:r>
      <w:r w:rsidRPr="006D427B">
        <w:rPr>
          <w:rFonts w:ascii="Söhne" w:hAnsi="Söhne"/>
          <w:szCs w:val="18"/>
        </w:rPr>
        <w:t>, 847–855.</w:t>
      </w:r>
    </w:p>
    <w:p w14:paraId="1018B93C" w14:textId="77777777" w:rsidR="008946AB" w:rsidRPr="006D427B" w:rsidRDefault="008946AB" w:rsidP="008946AB">
      <w:pPr>
        <w:pStyle w:val="REF"/>
        <w:ind w:left="0" w:firstLine="0"/>
        <w:rPr>
          <w:rFonts w:ascii="Söhne" w:hAnsi="Söhne"/>
          <w:szCs w:val="18"/>
        </w:rPr>
      </w:pPr>
      <w:r w:rsidRPr="006D427B">
        <w:rPr>
          <w:rFonts w:ascii="Söhne" w:hAnsi="Söhne"/>
          <w:smallCaps/>
          <w:szCs w:val="18"/>
        </w:rPr>
        <w:t>Friedman C.S., Biggs W., Shields J.D. &amp; Hedrick R.P.</w:t>
      </w:r>
      <w:r w:rsidRPr="006D427B">
        <w:rPr>
          <w:rFonts w:ascii="Söhne" w:hAnsi="Söhne"/>
          <w:szCs w:val="18"/>
        </w:rPr>
        <w:t xml:space="preserve"> (2002). Transmission of withering syndrome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szCs w:val="18"/>
        </w:rPr>
        <w:t xml:space="preserve"> Leach.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21</w:t>
      </w:r>
      <w:r w:rsidRPr="006D427B">
        <w:rPr>
          <w:rFonts w:ascii="Söhne" w:hAnsi="Söhne"/>
          <w:szCs w:val="18"/>
        </w:rPr>
        <w:t>, 817–824.</w:t>
      </w:r>
    </w:p>
    <w:p w14:paraId="73A228D0" w14:textId="77777777" w:rsidR="008946AB" w:rsidRPr="006D427B" w:rsidRDefault="008946AB" w:rsidP="008946AB">
      <w:pPr>
        <w:pStyle w:val="Para3"/>
        <w:ind w:left="0"/>
      </w:pPr>
      <w:r w:rsidRPr="006D427B">
        <w:rPr>
          <w:smallCaps/>
        </w:rPr>
        <w:lastRenderedPageBreak/>
        <w:t>Friedman C.S. &amp; Crosson L.M.</w:t>
      </w:r>
      <w:r w:rsidRPr="006D427B">
        <w:t xml:space="preserve"> (2012). Putative phage hyperparasite in the Rickettsial Pathogen of Abalone, “</w:t>
      </w:r>
      <w:r w:rsidRPr="006D427B">
        <w:rPr>
          <w:i/>
          <w:iCs/>
        </w:rPr>
        <w:t>Candidatus</w:t>
      </w:r>
      <w:r w:rsidRPr="006D427B">
        <w:t xml:space="preserve"> Xenohaliotis californiensis”. </w:t>
      </w:r>
      <w:proofErr w:type="spellStart"/>
      <w:r w:rsidRPr="006D427B">
        <w:rPr>
          <w:i/>
          <w:iCs/>
        </w:rPr>
        <w:t>Invertebr</w:t>
      </w:r>
      <w:proofErr w:type="spellEnd"/>
      <w:r w:rsidRPr="006D427B">
        <w:rPr>
          <w:i/>
          <w:iCs/>
        </w:rPr>
        <w:t xml:space="preserve">. </w:t>
      </w:r>
      <w:proofErr w:type="spellStart"/>
      <w:r w:rsidRPr="006D427B">
        <w:rPr>
          <w:i/>
          <w:iCs/>
        </w:rPr>
        <w:t>Microbiol</w:t>
      </w:r>
      <w:proofErr w:type="spellEnd"/>
      <w:r w:rsidRPr="006D427B">
        <w:t xml:space="preserve">., </w:t>
      </w:r>
      <w:r w:rsidRPr="006D427B">
        <w:rPr>
          <w:b/>
          <w:bCs w:val="0"/>
        </w:rPr>
        <w:t>64</w:t>
      </w:r>
      <w:r w:rsidRPr="006D427B">
        <w:t>, 1064–1072.</w:t>
      </w:r>
    </w:p>
    <w:p w14:paraId="1F86F0D7" w14:textId="77777777" w:rsidR="008946AB" w:rsidRPr="006D427B" w:rsidRDefault="008946AB" w:rsidP="008946AB">
      <w:pPr>
        <w:pStyle w:val="REF"/>
        <w:ind w:left="0" w:firstLine="0"/>
        <w:rPr>
          <w:rFonts w:ascii="Söhne" w:hAnsi="Söhne"/>
          <w:szCs w:val="18"/>
        </w:rPr>
      </w:pPr>
      <w:r w:rsidRPr="006D427B">
        <w:rPr>
          <w:rFonts w:ascii="Söhne" w:hAnsi="Söhne"/>
          <w:smallCaps/>
          <w:szCs w:val="18"/>
        </w:rPr>
        <w:t xml:space="preserve">Friedman C.S. &amp; Finley C.A. </w:t>
      </w:r>
      <w:r w:rsidRPr="006D427B">
        <w:rPr>
          <w:rFonts w:ascii="Söhne" w:hAnsi="Söhne"/>
          <w:szCs w:val="18"/>
        </w:rPr>
        <w:t>(2003). Evidence for an anthropogenic introduction of “</w:t>
      </w:r>
      <w:r w:rsidRPr="006D427B">
        <w:rPr>
          <w:rFonts w:ascii="Söhne" w:hAnsi="Söhne"/>
          <w:i/>
          <w:szCs w:val="18"/>
        </w:rPr>
        <w:t>Candidatus</w:t>
      </w:r>
      <w:r w:rsidRPr="006D427B">
        <w:rPr>
          <w:rFonts w:ascii="Söhne" w:hAnsi="Söhne"/>
          <w:szCs w:val="18"/>
        </w:rPr>
        <w:t xml:space="preserve"> Xenohaliotis californiensis”, the etiological agent of withering syndrome, into northern California abalone populations via conservation efforts. </w:t>
      </w:r>
      <w:r w:rsidRPr="006D427B">
        <w:rPr>
          <w:rFonts w:ascii="Söhne" w:hAnsi="Söhne"/>
          <w:i/>
          <w:szCs w:val="18"/>
        </w:rPr>
        <w:t xml:space="preserve">Can. J. Fish </w:t>
      </w:r>
      <w:proofErr w:type="spellStart"/>
      <w:r w:rsidRPr="006D427B">
        <w:rPr>
          <w:rFonts w:ascii="Söhne" w:hAnsi="Söhne"/>
          <w:i/>
          <w:szCs w:val="18"/>
        </w:rPr>
        <w:t>Aquat</w:t>
      </w:r>
      <w:proofErr w:type="spellEnd"/>
      <w:r w:rsidRPr="006D427B">
        <w:rPr>
          <w:rFonts w:ascii="Söhne" w:hAnsi="Söhne"/>
          <w:i/>
          <w:szCs w:val="18"/>
        </w:rPr>
        <w:t>. Sci.,</w:t>
      </w:r>
      <w:r w:rsidRPr="006D427B">
        <w:rPr>
          <w:rFonts w:ascii="Söhne" w:hAnsi="Söhne"/>
          <w:szCs w:val="18"/>
        </w:rPr>
        <w:t xml:space="preserve"> </w:t>
      </w:r>
      <w:r w:rsidRPr="006D427B">
        <w:rPr>
          <w:rFonts w:ascii="Söhne" w:hAnsi="Söhne"/>
          <w:b/>
          <w:szCs w:val="18"/>
        </w:rPr>
        <w:t>60</w:t>
      </w:r>
      <w:r w:rsidRPr="006D427B">
        <w:rPr>
          <w:rFonts w:ascii="Söhne" w:hAnsi="Söhne"/>
          <w:szCs w:val="18"/>
        </w:rPr>
        <w:t>, 1424–1431.</w:t>
      </w:r>
    </w:p>
    <w:p w14:paraId="48A03DA0" w14:textId="77777777" w:rsidR="00CA2B00" w:rsidRPr="006D427B" w:rsidRDefault="00CA2B00" w:rsidP="00CA2B00">
      <w:pPr>
        <w:pStyle w:val="REF"/>
        <w:ind w:left="0" w:firstLine="0"/>
        <w:rPr>
          <w:rFonts w:ascii="Söhne" w:hAnsi="Söhne"/>
          <w:szCs w:val="18"/>
        </w:rPr>
      </w:pPr>
      <w:r w:rsidRPr="006D427B">
        <w:rPr>
          <w:rFonts w:ascii="Söhne" w:hAnsi="Söhne"/>
          <w:smallCaps/>
          <w:szCs w:val="18"/>
        </w:rPr>
        <w:t>Friedman C.S., Thomson M., Chun C., Haaker P.L. &amp; Hedrick, R.P. (</w:t>
      </w:r>
      <w:r w:rsidRPr="006D427B">
        <w:rPr>
          <w:rFonts w:ascii="Söhne" w:hAnsi="Söhne"/>
          <w:szCs w:val="18"/>
        </w:rPr>
        <w:t xml:space="preserve">1997). Withering syndrome of the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(Leach): Water temperature, food availability, and parasites as possible causes.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16</w:t>
      </w:r>
      <w:r w:rsidRPr="006D427B">
        <w:rPr>
          <w:rFonts w:ascii="Söhne" w:hAnsi="Söhne"/>
          <w:szCs w:val="18"/>
        </w:rPr>
        <w:t>, 403–411.</w:t>
      </w:r>
    </w:p>
    <w:p w14:paraId="46690DAC" w14:textId="77777777" w:rsidR="00CA2B00" w:rsidRPr="006D427B" w:rsidRDefault="00CA2B00" w:rsidP="00CA2B00">
      <w:pPr>
        <w:pStyle w:val="REF"/>
        <w:ind w:left="0" w:firstLine="0"/>
        <w:rPr>
          <w:rFonts w:ascii="Söhne" w:hAnsi="Söhne"/>
          <w:szCs w:val="18"/>
        </w:rPr>
      </w:pPr>
      <w:r w:rsidRPr="006D427B">
        <w:rPr>
          <w:rFonts w:ascii="Söhne" w:hAnsi="Söhne"/>
          <w:smallCaps/>
          <w:szCs w:val="18"/>
        </w:rPr>
        <w:t>Friedman C.S., Trevelyan G., Mulder E.P. &amp; Fields R</w:t>
      </w:r>
      <w:r w:rsidRPr="006D427B">
        <w:rPr>
          <w:rFonts w:ascii="Söhne" w:hAnsi="Söhne"/>
          <w:szCs w:val="18"/>
        </w:rPr>
        <w:t xml:space="preserve">. (2003). Development of an oral administration of oxytetracycline to control losses due to withering syndrome in cultured red abalone </w:t>
      </w:r>
      <w:r w:rsidRPr="006D427B">
        <w:rPr>
          <w:rFonts w:ascii="Söhne" w:hAnsi="Söhne"/>
          <w:i/>
          <w:szCs w:val="18"/>
        </w:rPr>
        <w:t>Haliotis rufescens. Aquaculture</w:t>
      </w:r>
      <w:r w:rsidRPr="006D427B">
        <w:rPr>
          <w:rFonts w:ascii="Söhne" w:hAnsi="Söhne"/>
          <w:szCs w:val="18"/>
        </w:rPr>
        <w:t xml:space="preserve">, </w:t>
      </w:r>
      <w:r w:rsidRPr="006D427B">
        <w:rPr>
          <w:rFonts w:ascii="Söhne" w:hAnsi="Söhne"/>
          <w:b/>
          <w:szCs w:val="18"/>
        </w:rPr>
        <w:t>224</w:t>
      </w:r>
      <w:r w:rsidRPr="006D427B">
        <w:rPr>
          <w:rFonts w:ascii="Söhne" w:hAnsi="Söhne"/>
          <w:szCs w:val="18"/>
        </w:rPr>
        <w:t>, 1–23.</w:t>
      </w:r>
    </w:p>
    <w:p w14:paraId="473E6490" w14:textId="77777777" w:rsidR="00CA2B00" w:rsidRPr="006D427B" w:rsidRDefault="00CA2B00" w:rsidP="00CA2B00">
      <w:pPr>
        <w:pStyle w:val="REF"/>
        <w:ind w:left="0" w:firstLine="0"/>
        <w:rPr>
          <w:rFonts w:ascii="Söhne" w:hAnsi="Söhne"/>
          <w:szCs w:val="18"/>
        </w:rPr>
      </w:pPr>
      <w:r w:rsidRPr="006D427B">
        <w:rPr>
          <w:rFonts w:ascii="Söhne" w:hAnsi="Söhne"/>
          <w:szCs w:val="18"/>
        </w:rPr>
        <w:t>F</w:t>
      </w:r>
      <w:r w:rsidRPr="006D427B">
        <w:rPr>
          <w:rFonts w:ascii="Söhne" w:hAnsi="Söhne"/>
          <w:smallCaps/>
          <w:szCs w:val="18"/>
        </w:rPr>
        <w:t>riedman C.S., Scott B.B., Strenge R.E. &amp; McCormick T.B.</w:t>
      </w:r>
      <w:r w:rsidRPr="006D427B">
        <w:rPr>
          <w:rFonts w:ascii="Söhne" w:hAnsi="Söhne"/>
          <w:szCs w:val="18"/>
        </w:rPr>
        <w:t xml:space="preserve"> (2007). Oxytetracycline as a tool to manage and prevent losses of the endangered white abalone, </w:t>
      </w:r>
      <w:r w:rsidRPr="006D427B">
        <w:rPr>
          <w:rFonts w:ascii="Söhne" w:hAnsi="Söhne"/>
          <w:i/>
          <w:szCs w:val="18"/>
        </w:rPr>
        <w:t xml:space="preserve">Haliotis </w:t>
      </w:r>
      <w:proofErr w:type="spellStart"/>
      <w:r w:rsidRPr="006D427B">
        <w:rPr>
          <w:rFonts w:ascii="Söhne" w:hAnsi="Söhne"/>
          <w:i/>
          <w:szCs w:val="18"/>
        </w:rPr>
        <w:t>sorenseni</w:t>
      </w:r>
      <w:proofErr w:type="spellEnd"/>
      <w:r w:rsidRPr="006D427B">
        <w:rPr>
          <w:rFonts w:ascii="Söhne" w:hAnsi="Söhne"/>
          <w:i/>
          <w:szCs w:val="18"/>
        </w:rPr>
        <w:t xml:space="preserve">, </w:t>
      </w:r>
      <w:r w:rsidRPr="006D427B">
        <w:rPr>
          <w:rFonts w:ascii="Söhne" w:hAnsi="Söhne"/>
          <w:szCs w:val="18"/>
        </w:rPr>
        <w:t xml:space="preserve">due to withering syndrome.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26</w:t>
      </w:r>
      <w:r w:rsidRPr="006D427B">
        <w:rPr>
          <w:rFonts w:ascii="Söhne" w:hAnsi="Söhne"/>
          <w:szCs w:val="18"/>
        </w:rPr>
        <w:t>, 877–885.</w:t>
      </w:r>
    </w:p>
    <w:p w14:paraId="4E462BE3" w14:textId="4227347B" w:rsidR="007B53FB" w:rsidRPr="006D427B" w:rsidRDefault="00CA2B00" w:rsidP="00FB2F0B">
      <w:pPr>
        <w:pStyle w:val="Para3"/>
        <w:ind w:left="0"/>
      </w:pPr>
      <w:r w:rsidRPr="006D427B">
        <w:rPr>
          <w:smallCaps/>
        </w:rPr>
        <w:t>Friedman C.S., Wight N., Crosson L.M., White S.J. &amp; Strenge R.M</w:t>
      </w:r>
      <w:r w:rsidR="007B53FB" w:rsidRPr="006D427B">
        <w:t>. (2014). Validation of a qualitative PCR assay for detection and quantification of ‘</w:t>
      </w:r>
      <w:r w:rsidR="007B53FB" w:rsidRPr="006D427B">
        <w:rPr>
          <w:i/>
          <w:iCs/>
        </w:rPr>
        <w:t xml:space="preserve">Candidatus </w:t>
      </w:r>
      <w:r w:rsidR="007B53FB" w:rsidRPr="006D427B">
        <w:t xml:space="preserve">Xenohaliotis californiensis’. </w:t>
      </w:r>
      <w:r w:rsidR="00381FD1" w:rsidRPr="006D427B">
        <w:rPr>
          <w:i/>
          <w:iCs/>
        </w:rPr>
        <w:t xml:space="preserve">Dis. </w:t>
      </w:r>
      <w:proofErr w:type="spellStart"/>
      <w:r w:rsidR="00381FD1" w:rsidRPr="006D427B">
        <w:rPr>
          <w:i/>
          <w:iCs/>
        </w:rPr>
        <w:t>Aquat</w:t>
      </w:r>
      <w:proofErr w:type="spellEnd"/>
      <w:r w:rsidR="00381FD1" w:rsidRPr="006D427B">
        <w:rPr>
          <w:i/>
          <w:iCs/>
        </w:rPr>
        <w:t>. Organ</w:t>
      </w:r>
      <w:r w:rsidR="007B53FB" w:rsidRPr="006D427B">
        <w:t>.,</w:t>
      </w:r>
      <w:r w:rsidR="007B53FB" w:rsidRPr="006D427B">
        <w:rPr>
          <w:b/>
          <w:bCs w:val="0"/>
        </w:rPr>
        <w:t>108</w:t>
      </w:r>
      <w:r w:rsidR="007B53FB" w:rsidRPr="006D427B">
        <w:t>,</w:t>
      </w:r>
      <w:r w:rsidRPr="006D427B">
        <w:t xml:space="preserve"> </w:t>
      </w:r>
      <w:r w:rsidR="007B53FB" w:rsidRPr="006D427B">
        <w:t>251</w:t>
      </w:r>
      <w:r w:rsidRPr="006D427B">
        <w:t>–</w:t>
      </w:r>
      <w:r w:rsidR="007B53FB" w:rsidRPr="006D427B">
        <w:t>259.</w:t>
      </w:r>
    </w:p>
    <w:p w14:paraId="2B45ECEC" w14:textId="77777777" w:rsidR="00CF565E" w:rsidRPr="006D427B" w:rsidRDefault="00CF565E" w:rsidP="00CF565E">
      <w:pPr>
        <w:pStyle w:val="REF"/>
        <w:ind w:left="0" w:firstLine="0"/>
        <w:rPr>
          <w:rFonts w:ascii="Söhne" w:hAnsi="Söhne"/>
          <w:szCs w:val="18"/>
        </w:rPr>
      </w:pPr>
      <w:r w:rsidRPr="006D427B">
        <w:rPr>
          <w:rFonts w:ascii="Söhne" w:hAnsi="Söhne"/>
          <w:smallCaps/>
          <w:szCs w:val="18"/>
        </w:rPr>
        <w:t xml:space="preserve">Gardner G.R., Harshbarger J.C., Lake J., Sawyer T.K., Price K.L., Stephenson M.D., Haaker P.L. &amp; Togstad H.A. </w:t>
      </w:r>
      <w:r w:rsidRPr="006D427B">
        <w:rPr>
          <w:rFonts w:ascii="Söhne" w:hAnsi="Söhne"/>
          <w:szCs w:val="18"/>
        </w:rPr>
        <w:t xml:space="preserve">(1995). Association of prokaryotes with symptomatic appearance of withering syndrome in black abalone </w:t>
      </w:r>
      <w:r w:rsidRPr="006D427B">
        <w:rPr>
          <w:rFonts w:ascii="Söhne" w:hAnsi="Söhne"/>
          <w:i/>
          <w:szCs w:val="18"/>
        </w:rPr>
        <w:t xml:space="preserve">Haliotis </w:t>
      </w:r>
      <w:proofErr w:type="spellStart"/>
      <w:r w:rsidRPr="006D427B">
        <w:rPr>
          <w:rFonts w:ascii="Söhne" w:hAnsi="Söhne"/>
          <w:i/>
          <w:szCs w:val="18"/>
        </w:rPr>
        <w:t>craherodii</w:t>
      </w:r>
      <w:proofErr w:type="spellEnd"/>
      <w:r w:rsidRPr="006D427B">
        <w:rPr>
          <w:rFonts w:ascii="Söhne" w:hAnsi="Söhne"/>
          <w:i/>
          <w:szCs w:val="18"/>
        </w:rPr>
        <w:t xml:space="preserve">. J. </w:t>
      </w:r>
      <w:proofErr w:type="spellStart"/>
      <w:r w:rsidRPr="006D427B">
        <w:rPr>
          <w:rFonts w:ascii="Söhne" w:hAnsi="Söhne"/>
          <w:i/>
          <w:szCs w:val="18"/>
        </w:rPr>
        <w:t>Invertebr</w:t>
      </w:r>
      <w:proofErr w:type="spellEnd"/>
      <w:r w:rsidRPr="006D427B">
        <w:rPr>
          <w:rFonts w:ascii="Söhne" w:hAnsi="Söhne"/>
          <w:i/>
          <w:szCs w:val="18"/>
        </w:rPr>
        <w:t xml:space="preserve">. </w:t>
      </w:r>
      <w:proofErr w:type="spellStart"/>
      <w:r w:rsidRPr="006D427B">
        <w:rPr>
          <w:rFonts w:ascii="Söhne" w:hAnsi="Söhne"/>
          <w:i/>
          <w:szCs w:val="18"/>
        </w:rPr>
        <w:t>Pathol</w:t>
      </w:r>
      <w:proofErr w:type="spellEnd"/>
      <w:r w:rsidRPr="006D427B">
        <w:rPr>
          <w:rFonts w:ascii="Söhne" w:hAnsi="Söhne"/>
          <w:i/>
          <w:szCs w:val="18"/>
        </w:rPr>
        <w:t>.</w:t>
      </w:r>
      <w:r w:rsidRPr="006D427B">
        <w:rPr>
          <w:rFonts w:ascii="Söhne" w:hAnsi="Söhne"/>
          <w:szCs w:val="18"/>
        </w:rPr>
        <w:t xml:space="preserve">, </w:t>
      </w:r>
      <w:r w:rsidRPr="006D427B">
        <w:rPr>
          <w:rFonts w:ascii="Söhne" w:hAnsi="Söhne"/>
          <w:b/>
          <w:szCs w:val="18"/>
        </w:rPr>
        <w:t>66</w:t>
      </w:r>
      <w:r w:rsidRPr="006D427B">
        <w:rPr>
          <w:rFonts w:ascii="Söhne" w:hAnsi="Söhne"/>
          <w:szCs w:val="18"/>
        </w:rPr>
        <w:t>, 111–120.</w:t>
      </w:r>
    </w:p>
    <w:p w14:paraId="349EEEDB" w14:textId="77777777" w:rsidR="00CF565E" w:rsidRPr="006D427B" w:rsidRDefault="00CF565E" w:rsidP="00CF565E">
      <w:pPr>
        <w:pStyle w:val="REF"/>
        <w:ind w:left="0" w:firstLine="0"/>
        <w:rPr>
          <w:rFonts w:ascii="Söhne" w:hAnsi="Söhne"/>
          <w:szCs w:val="18"/>
        </w:rPr>
      </w:pPr>
      <w:r w:rsidRPr="006D427B">
        <w:rPr>
          <w:rFonts w:ascii="Söhne" w:hAnsi="Söhne"/>
          <w:smallCaps/>
          <w:szCs w:val="18"/>
        </w:rPr>
        <w:t>Haaker P.L., Parker D.O., Togstad H., Richards D.V., Davis G.E. &amp; Friedman C.S.</w:t>
      </w:r>
      <w:r w:rsidRPr="006D427B">
        <w:rPr>
          <w:rFonts w:ascii="Söhne" w:hAnsi="Söhne"/>
          <w:szCs w:val="18"/>
        </w:rPr>
        <w:t xml:space="preserve"> (1992). Mass mortality and withering syndrome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szCs w:val="18"/>
        </w:rPr>
        <w:t xml:space="preserve">, in California. </w:t>
      </w:r>
      <w:r w:rsidRPr="006D427B">
        <w:rPr>
          <w:rFonts w:ascii="Söhne" w:hAnsi="Söhne"/>
          <w:i/>
          <w:szCs w:val="18"/>
        </w:rPr>
        <w:t xml:space="preserve">In: </w:t>
      </w:r>
      <w:r w:rsidRPr="006D427B">
        <w:rPr>
          <w:rFonts w:ascii="Söhne" w:hAnsi="Söhne"/>
          <w:szCs w:val="18"/>
        </w:rPr>
        <w:t>Abalone of the World, Shepard S.A., Tegner M.J. &amp; Guzman del Proo S.A., eds, Blackwell Scientific, Oxford, UK, 214–224.</w:t>
      </w:r>
    </w:p>
    <w:p w14:paraId="503E0839" w14:textId="77777777" w:rsidR="00CF565E" w:rsidRPr="006D427B" w:rsidRDefault="00CF565E" w:rsidP="00CF565E">
      <w:pPr>
        <w:pStyle w:val="REF"/>
        <w:ind w:left="0" w:firstLine="0"/>
        <w:rPr>
          <w:rFonts w:ascii="Söhne" w:hAnsi="Söhne"/>
          <w:szCs w:val="18"/>
        </w:rPr>
      </w:pPr>
      <w:proofErr w:type="spellStart"/>
      <w:r w:rsidRPr="006D427B">
        <w:rPr>
          <w:rFonts w:ascii="Söhne" w:hAnsi="Söhne"/>
          <w:smallCaps/>
          <w:szCs w:val="18"/>
        </w:rPr>
        <w:t>Kismohandaka</w:t>
      </w:r>
      <w:proofErr w:type="spellEnd"/>
      <w:r w:rsidRPr="006D427B">
        <w:rPr>
          <w:rFonts w:ascii="Söhne" w:hAnsi="Söhne"/>
          <w:smallCaps/>
          <w:szCs w:val="18"/>
        </w:rPr>
        <w:t xml:space="preserve"> G., Roberts W., Hedrick R.P. &amp; Friedman C.S. </w:t>
      </w:r>
      <w:r w:rsidRPr="006D427B">
        <w:rPr>
          <w:rFonts w:ascii="Söhne" w:hAnsi="Söhne"/>
          <w:szCs w:val="18"/>
        </w:rPr>
        <w:t xml:space="preserve">(1995). Physiological alterations of the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Leach, with withering syndrome.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14</w:t>
      </w:r>
      <w:r w:rsidRPr="006D427B">
        <w:rPr>
          <w:rFonts w:ascii="Söhne" w:hAnsi="Söhne"/>
          <w:szCs w:val="18"/>
        </w:rPr>
        <w:t>, 269–270.</w:t>
      </w:r>
    </w:p>
    <w:p w14:paraId="61F418B2" w14:textId="77777777" w:rsidR="00CF565E" w:rsidRPr="006D427B" w:rsidRDefault="00CF565E" w:rsidP="00CF565E">
      <w:pPr>
        <w:autoSpaceDE w:val="0"/>
        <w:autoSpaceDN w:val="0"/>
        <w:adjustRightInd w:val="0"/>
        <w:spacing w:line="240" w:lineRule="auto"/>
        <w:jc w:val="both"/>
        <w:rPr>
          <w:rFonts w:cs="Arial"/>
          <w:szCs w:val="18"/>
          <w:lang w:val="en-IE"/>
        </w:rPr>
      </w:pPr>
      <w:r w:rsidRPr="006D427B">
        <w:rPr>
          <w:rFonts w:cs="Arial"/>
          <w:smallCaps/>
          <w:szCs w:val="18"/>
          <w:lang w:val="en-IE"/>
        </w:rPr>
        <w:t>M</w:t>
      </w:r>
      <w:r w:rsidRPr="006D427B">
        <w:rPr>
          <w:smallCaps/>
          <w:szCs w:val="18"/>
          <w:lang w:val="en-IE"/>
        </w:rPr>
        <w:t>oore</w:t>
      </w:r>
      <w:r w:rsidRPr="006D427B">
        <w:rPr>
          <w:rFonts w:cs="Arial"/>
          <w:smallCaps/>
          <w:szCs w:val="18"/>
          <w:lang w:val="en-IE"/>
        </w:rPr>
        <w:t xml:space="preserve"> J.D., Juhasz C.I., R</w:t>
      </w:r>
      <w:r w:rsidRPr="006D427B">
        <w:rPr>
          <w:smallCaps/>
          <w:szCs w:val="18"/>
          <w:lang w:val="en-IE"/>
        </w:rPr>
        <w:t>obbins</w:t>
      </w:r>
      <w:r w:rsidRPr="006D427B">
        <w:rPr>
          <w:rFonts w:cs="Arial"/>
          <w:smallCaps/>
          <w:szCs w:val="18"/>
          <w:lang w:val="en-IE"/>
        </w:rPr>
        <w:t xml:space="preserve"> T.T. &amp; Vilchis</w:t>
      </w:r>
      <w:r w:rsidRPr="006D427B">
        <w:rPr>
          <w:rFonts w:cs="Arial"/>
          <w:szCs w:val="18"/>
          <w:lang w:val="en-IE"/>
        </w:rPr>
        <w:t xml:space="preserve"> I. (2009). Green abalone, </w:t>
      </w:r>
      <w:r w:rsidRPr="006D427B">
        <w:rPr>
          <w:rFonts w:cs="Arial"/>
          <w:i/>
          <w:iCs/>
          <w:szCs w:val="18"/>
          <w:lang w:val="en-IE"/>
        </w:rPr>
        <w:t>Haliotis fulgens</w:t>
      </w:r>
      <w:r w:rsidRPr="006D427B">
        <w:rPr>
          <w:rFonts w:cs="Arial"/>
          <w:szCs w:val="18"/>
          <w:lang w:val="en-IE"/>
        </w:rPr>
        <w:t xml:space="preserve">, infected with the agent of withering syndrome do not express disease signs under a temperature regime permissive for red abalone, </w:t>
      </w:r>
      <w:r w:rsidRPr="006D427B">
        <w:rPr>
          <w:rFonts w:cs="Arial"/>
          <w:i/>
          <w:iCs/>
          <w:szCs w:val="18"/>
          <w:lang w:val="en-IE"/>
        </w:rPr>
        <w:t>Haliotis rufescens</w:t>
      </w:r>
      <w:r w:rsidRPr="006D427B">
        <w:rPr>
          <w:rFonts w:cs="Arial"/>
          <w:szCs w:val="18"/>
          <w:lang w:val="en-IE"/>
        </w:rPr>
        <w:t xml:space="preserve">. </w:t>
      </w:r>
      <w:r w:rsidRPr="006D427B">
        <w:rPr>
          <w:rFonts w:cs="Arial"/>
          <w:i/>
          <w:szCs w:val="18"/>
          <w:lang w:val="en-IE"/>
        </w:rPr>
        <w:t>Marine Biol.,</w:t>
      </w:r>
      <w:r w:rsidRPr="006D427B">
        <w:rPr>
          <w:rFonts w:cs="Arial"/>
          <w:szCs w:val="18"/>
          <w:lang w:val="en-IE"/>
        </w:rPr>
        <w:t xml:space="preserve"> </w:t>
      </w:r>
      <w:r w:rsidRPr="006D427B">
        <w:rPr>
          <w:rFonts w:cs="Arial"/>
          <w:b/>
          <w:szCs w:val="18"/>
          <w:lang w:val="en-IE"/>
        </w:rPr>
        <w:t>156</w:t>
      </w:r>
      <w:r w:rsidRPr="006D427B">
        <w:rPr>
          <w:rFonts w:cs="Arial"/>
          <w:szCs w:val="18"/>
          <w:lang w:val="en-IE"/>
        </w:rPr>
        <w:t>, 2325–2330.</w:t>
      </w:r>
    </w:p>
    <w:p w14:paraId="6C644E89" w14:textId="77777777" w:rsidR="00CF565E" w:rsidRPr="006D427B" w:rsidRDefault="00CF565E" w:rsidP="00CF565E">
      <w:pPr>
        <w:autoSpaceDE w:val="0"/>
        <w:autoSpaceDN w:val="0"/>
        <w:adjustRightInd w:val="0"/>
        <w:spacing w:line="240" w:lineRule="auto"/>
        <w:jc w:val="both"/>
        <w:rPr>
          <w:rFonts w:cs="Arial"/>
          <w:szCs w:val="18"/>
          <w:lang w:val="en-IE"/>
        </w:rPr>
      </w:pPr>
      <w:r w:rsidRPr="006D427B">
        <w:rPr>
          <w:rFonts w:cs="Arial"/>
          <w:szCs w:val="18"/>
          <w:lang w:val="en-IE"/>
        </w:rPr>
        <w:t>M</w:t>
      </w:r>
      <w:r w:rsidRPr="006D427B">
        <w:rPr>
          <w:smallCaps/>
          <w:szCs w:val="18"/>
          <w:lang w:val="en-IE"/>
        </w:rPr>
        <w:t>oore</w:t>
      </w:r>
      <w:r w:rsidRPr="006D427B">
        <w:rPr>
          <w:rFonts w:cs="Arial"/>
          <w:szCs w:val="18"/>
          <w:lang w:val="en-IE"/>
        </w:rPr>
        <w:t xml:space="preserve"> J.D., M</w:t>
      </w:r>
      <w:r w:rsidRPr="006D427B">
        <w:rPr>
          <w:rFonts w:cs="Arial"/>
          <w:smallCaps/>
          <w:szCs w:val="18"/>
          <w:lang w:val="en-IE"/>
        </w:rPr>
        <w:t>arshman</w:t>
      </w:r>
      <w:r w:rsidRPr="006D427B">
        <w:rPr>
          <w:rFonts w:cs="Arial"/>
          <w:szCs w:val="18"/>
          <w:lang w:val="en-IE"/>
        </w:rPr>
        <w:t xml:space="preserve"> B.C. &amp; C</w:t>
      </w:r>
      <w:r w:rsidRPr="006D427B">
        <w:rPr>
          <w:rFonts w:cs="Arial"/>
          <w:smallCaps/>
          <w:szCs w:val="18"/>
          <w:lang w:val="en-IE"/>
        </w:rPr>
        <w:t>hun</w:t>
      </w:r>
      <w:r w:rsidRPr="006D427B">
        <w:rPr>
          <w:rFonts w:cs="Arial"/>
          <w:szCs w:val="18"/>
          <w:lang w:val="en-IE"/>
        </w:rPr>
        <w:t xml:space="preserve"> C.C. (2011). Health and survival of red abalone </w:t>
      </w:r>
      <w:r w:rsidRPr="006D427B">
        <w:rPr>
          <w:rFonts w:cs="Arial"/>
          <w:i/>
          <w:szCs w:val="18"/>
          <w:lang w:val="en-IE"/>
        </w:rPr>
        <w:t>Haliotis rufescens</w:t>
      </w:r>
      <w:r w:rsidRPr="006D427B">
        <w:rPr>
          <w:rFonts w:cs="Arial"/>
          <w:szCs w:val="18"/>
          <w:lang w:val="en-IE"/>
        </w:rPr>
        <w:t xml:space="preserve"> from San Miguel Island, California, USA, in a laboratory simulation of La Niña and El Niño conditions. </w:t>
      </w:r>
      <w:r w:rsidRPr="006D427B">
        <w:rPr>
          <w:rFonts w:cs="Arial"/>
          <w:i/>
          <w:szCs w:val="18"/>
          <w:lang w:val="en-IE"/>
        </w:rPr>
        <w:t xml:space="preserve">J. </w:t>
      </w:r>
      <w:proofErr w:type="spellStart"/>
      <w:r w:rsidRPr="006D427B">
        <w:rPr>
          <w:rFonts w:cs="Arial"/>
          <w:i/>
          <w:szCs w:val="18"/>
          <w:lang w:val="en-IE"/>
        </w:rPr>
        <w:t>Aquat</w:t>
      </w:r>
      <w:proofErr w:type="spellEnd"/>
      <w:r w:rsidRPr="006D427B">
        <w:rPr>
          <w:rFonts w:cs="Arial"/>
          <w:i/>
          <w:szCs w:val="18"/>
          <w:lang w:val="en-IE"/>
        </w:rPr>
        <w:t>. Anim. Health</w:t>
      </w:r>
      <w:r w:rsidRPr="006D427B">
        <w:rPr>
          <w:rFonts w:cs="Arial"/>
          <w:szCs w:val="18"/>
          <w:lang w:val="en-IE"/>
        </w:rPr>
        <w:t xml:space="preserve">, </w:t>
      </w:r>
      <w:r w:rsidRPr="006D427B">
        <w:rPr>
          <w:rFonts w:cs="Arial"/>
          <w:b/>
          <w:szCs w:val="18"/>
          <w:lang w:val="en-IE"/>
        </w:rPr>
        <w:t>23</w:t>
      </w:r>
      <w:r w:rsidRPr="006D427B">
        <w:rPr>
          <w:rFonts w:cs="Arial"/>
          <w:szCs w:val="18"/>
          <w:lang w:val="en-IE"/>
        </w:rPr>
        <w:t>, 78–84.</w:t>
      </w:r>
    </w:p>
    <w:p w14:paraId="5F25D0DC" w14:textId="77777777" w:rsidR="00CF565E" w:rsidRPr="006D427B" w:rsidRDefault="00CF565E" w:rsidP="00CF565E">
      <w:pPr>
        <w:pStyle w:val="REF"/>
        <w:ind w:left="0" w:firstLine="0"/>
        <w:rPr>
          <w:rFonts w:ascii="Söhne" w:hAnsi="Söhne"/>
          <w:szCs w:val="18"/>
        </w:rPr>
      </w:pPr>
      <w:r w:rsidRPr="006D427B">
        <w:rPr>
          <w:rFonts w:ascii="Söhne" w:hAnsi="Söhne"/>
          <w:smallCaps/>
          <w:szCs w:val="18"/>
        </w:rPr>
        <w:t>Moore J.D., Robbins T.T. &amp; Friedman C.S.</w:t>
      </w:r>
      <w:r w:rsidRPr="006D427B">
        <w:rPr>
          <w:rFonts w:ascii="Söhne" w:hAnsi="Söhne"/>
          <w:szCs w:val="18"/>
        </w:rPr>
        <w:t xml:space="preserve"> (2000). Withering syndrome in farmed red abalone </w:t>
      </w:r>
      <w:r w:rsidRPr="006D427B">
        <w:rPr>
          <w:rFonts w:ascii="Söhne" w:hAnsi="Söhne"/>
          <w:i/>
          <w:szCs w:val="18"/>
        </w:rPr>
        <w:t xml:space="preserve">Haliotis rufescens: </w:t>
      </w:r>
      <w:r w:rsidRPr="006D427B">
        <w:rPr>
          <w:rFonts w:ascii="Söhne" w:hAnsi="Söhne"/>
          <w:szCs w:val="18"/>
        </w:rPr>
        <w:t xml:space="preserve">Thermal induction and association with a gastrointestinal rickettsia-like prokaryote. </w:t>
      </w:r>
      <w:r w:rsidRPr="006D427B">
        <w:rPr>
          <w:rFonts w:ascii="Söhne" w:hAnsi="Söhne"/>
          <w:i/>
          <w:szCs w:val="18"/>
        </w:rPr>
        <w:t xml:space="preserve">J. </w:t>
      </w:r>
      <w:proofErr w:type="spellStart"/>
      <w:r w:rsidRPr="006D427B">
        <w:rPr>
          <w:rFonts w:ascii="Söhne" w:hAnsi="Söhne"/>
          <w:i/>
          <w:szCs w:val="18"/>
        </w:rPr>
        <w:t>Aquat</w:t>
      </w:r>
      <w:proofErr w:type="spellEnd"/>
      <w:r w:rsidRPr="006D427B">
        <w:rPr>
          <w:rFonts w:ascii="Söhne" w:hAnsi="Söhne"/>
          <w:i/>
          <w:szCs w:val="18"/>
        </w:rPr>
        <w:t>. Anim. Health,</w:t>
      </w:r>
      <w:r w:rsidRPr="006D427B">
        <w:rPr>
          <w:rFonts w:ascii="Söhne" w:hAnsi="Söhne"/>
          <w:szCs w:val="18"/>
        </w:rPr>
        <w:t xml:space="preserve"> </w:t>
      </w:r>
      <w:r w:rsidRPr="006D427B">
        <w:rPr>
          <w:rFonts w:ascii="Söhne" w:hAnsi="Söhne"/>
          <w:b/>
          <w:szCs w:val="18"/>
        </w:rPr>
        <w:t>12</w:t>
      </w:r>
      <w:r w:rsidRPr="006D427B">
        <w:rPr>
          <w:rFonts w:ascii="Söhne" w:hAnsi="Söhne"/>
          <w:szCs w:val="18"/>
        </w:rPr>
        <w:t>, 26–34.</w:t>
      </w:r>
    </w:p>
    <w:p w14:paraId="48CA61C3" w14:textId="26A0ECC3" w:rsidR="00CF565E" w:rsidRPr="006D427B" w:rsidRDefault="00CF565E" w:rsidP="00CF565E">
      <w:pPr>
        <w:pStyle w:val="REF"/>
        <w:ind w:left="0" w:firstLine="0"/>
        <w:rPr>
          <w:rFonts w:ascii="Söhne" w:hAnsi="Söhne"/>
          <w:szCs w:val="18"/>
        </w:rPr>
      </w:pPr>
      <w:r w:rsidRPr="006D427B">
        <w:rPr>
          <w:rFonts w:ascii="Söhne" w:hAnsi="Söhne"/>
          <w:smallCaps/>
          <w:szCs w:val="18"/>
        </w:rPr>
        <w:t>Moore J.D., Robbins T.T., Hedrick R.P. &amp; Friedman C.S.</w:t>
      </w:r>
      <w:r w:rsidRPr="006D427B">
        <w:rPr>
          <w:rFonts w:ascii="Söhne" w:hAnsi="Söhne"/>
          <w:szCs w:val="18"/>
        </w:rPr>
        <w:t xml:space="preserve"> (</w:t>
      </w:r>
      <w:r w:rsidR="005A7BF5" w:rsidRPr="006D427B">
        <w:rPr>
          <w:rFonts w:ascii="Söhne" w:hAnsi="Söhne"/>
          <w:szCs w:val="18"/>
        </w:rPr>
        <w:t>2001</w:t>
      </w:r>
      <w:r w:rsidRPr="006D427B">
        <w:rPr>
          <w:rFonts w:ascii="Söhne" w:hAnsi="Söhne"/>
          <w:szCs w:val="18"/>
        </w:rPr>
        <w:t xml:space="preserve">) Transmission of the </w:t>
      </w:r>
      <w:proofErr w:type="spellStart"/>
      <w:r w:rsidRPr="006D427B">
        <w:rPr>
          <w:rFonts w:ascii="Söhne" w:hAnsi="Söhne"/>
          <w:szCs w:val="18"/>
        </w:rPr>
        <w:t>Rickettsiales</w:t>
      </w:r>
      <w:proofErr w:type="spellEnd"/>
      <w:r w:rsidRPr="006D427B">
        <w:rPr>
          <w:rFonts w:ascii="Söhne" w:hAnsi="Söhne"/>
          <w:szCs w:val="18"/>
        </w:rPr>
        <w:t>-like procaryote “</w:t>
      </w:r>
      <w:r w:rsidRPr="006D427B">
        <w:rPr>
          <w:rFonts w:ascii="Söhne" w:hAnsi="Söhne"/>
          <w:i/>
          <w:szCs w:val="18"/>
        </w:rPr>
        <w:t xml:space="preserve">Candidatus </w:t>
      </w:r>
      <w:proofErr w:type="spellStart"/>
      <w:r w:rsidRPr="006D427B">
        <w:rPr>
          <w:rFonts w:ascii="Söhne" w:hAnsi="Söhne"/>
          <w:szCs w:val="18"/>
        </w:rPr>
        <w:t>Xenohaliotis</w:t>
      </w:r>
      <w:proofErr w:type="spellEnd"/>
      <w:r w:rsidRPr="006D427B">
        <w:rPr>
          <w:rFonts w:ascii="Söhne" w:hAnsi="Söhne"/>
          <w:szCs w:val="18"/>
        </w:rPr>
        <w:t xml:space="preserve"> californiensis” and its role in withering syndrome of California abalone </w:t>
      </w:r>
      <w:r w:rsidRPr="006D427B">
        <w:rPr>
          <w:rFonts w:ascii="Söhne" w:hAnsi="Söhne"/>
          <w:i/>
          <w:szCs w:val="18"/>
        </w:rPr>
        <w:t>Haliotis</w:t>
      </w:r>
      <w:r w:rsidRPr="006D427B">
        <w:rPr>
          <w:rFonts w:ascii="Söhne" w:hAnsi="Söhne"/>
          <w:szCs w:val="18"/>
        </w:rPr>
        <w:t xml:space="preserve"> spp.</w:t>
      </w:r>
      <w:r w:rsidRPr="006D427B">
        <w:rPr>
          <w:rFonts w:ascii="Söhne" w:hAnsi="Söhne"/>
          <w:i/>
          <w:szCs w:val="18"/>
        </w:rPr>
        <w:t xml:space="preserve"> J. Shellfish Res.</w:t>
      </w:r>
      <w:r w:rsidRPr="006D427B">
        <w:rPr>
          <w:rFonts w:ascii="Söhne" w:hAnsi="Söhne"/>
          <w:szCs w:val="18"/>
        </w:rPr>
        <w:t xml:space="preserve">, </w:t>
      </w:r>
      <w:r w:rsidRPr="006D427B">
        <w:rPr>
          <w:rFonts w:ascii="Söhne" w:hAnsi="Söhne"/>
          <w:b/>
          <w:szCs w:val="18"/>
        </w:rPr>
        <w:t>20</w:t>
      </w:r>
      <w:r w:rsidRPr="006D427B">
        <w:rPr>
          <w:rFonts w:ascii="Söhne" w:hAnsi="Söhne"/>
          <w:szCs w:val="18"/>
        </w:rPr>
        <w:t>, 867–874.</w:t>
      </w:r>
    </w:p>
    <w:p w14:paraId="0C405139" w14:textId="77777777" w:rsidR="00F36CE6" w:rsidRPr="006D427B" w:rsidRDefault="00F36CE6" w:rsidP="00F36CE6">
      <w:pPr>
        <w:pStyle w:val="REF"/>
        <w:ind w:left="0" w:firstLine="0"/>
        <w:rPr>
          <w:rFonts w:ascii="Söhne" w:hAnsi="Söhne"/>
          <w:szCs w:val="18"/>
        </w:rPr>
      </w:pPr>
      <w:r w:rsidRPr="006D427B">
        <w:rPr>
          <w:rFonts w:ascii="Söhne" w:hAnsi="Söhne"/>
          <w:smallCaps/>
          <w:szCs w:val="18"/>
        </w:rPr>
        <w:t xml:space="preserve">Rosenblum E.S., Juhasz C., Friedman C.S., Robbins T.T., </w:t>
      </w:r>
      <w:proofErr w:type="spellStart"/>
      <w:r w:rsidRPr="006D427B">
        <w:rPr>
          <w:rFonts w:ascii="Söhne" w:hAnsi="Söhne"/>
          <w:smallCaps/>
          <w:szCs w:val="18"/>
        </w:rPr>
        <w:t>Craigmill</w:t>
      </w:r>
      <w:proofErr w:type="spellEnd"/>
      <w:r w:rsidRPr="006D427B">
        <w:rPr>
          <w:rFonts w:ascii="Söhne" w:hAnsi="Söhne"/>
          <w:smallCaps/>
          <w:szCs w:val="18"/>
        </w:rPr>
        <w:t xml:space="preserve"> A., </w:t>
      </w:r>
      <w:proofErr w:type="spellStart"/>
      <w:r w:rsidRPr="006D427B">
        <w:rPr>
          <w:rFonts w:ascii="Söhne" w:hAnsi="Söhne"/>
          <w:smallCaps/>
          <w:szCs w:val="18"/>
        </w:rPr>
        <w:t>Tjeerdema</w:t>
      </w:r>
      <w:proofErr w:type="spellEnd"/>
      <w:r w:rsidRPr="006D427B">
        <w:rPr>
          <w:rFonts w:ascii="Söhne" w:hAnsi="Söhne"/>
          <w:smallCaps/>
          <w:szCs w:val="18"/>
        </w:rPr>
        <w:t xml:space="preserve"> R.S.</w:t>
      </w:r>
      <w:r w:rsidRPr="006D427B">
        <w:rPr>
          <w:rFonts w:ascii="Söhne" w:hAnsi="Söhne"/>
          <w:szCs w:val="18"/>
        </w:rPr>
        <w:t xml:space="preserve"> &amp; </w:t>
      </w:r>
      <w:r w:rsidRPr="006D427B">
        <w:rPr>
          <w:rFonts w:ascii="Söhne" w:hAnsi="Söhne"/>
          <w:smallCaps/>
          <w:szCs w:val="18"/>
        </w:rPr>
        <w:t>Moore</w:t>
      </w:r>
      <w:r w:rsidRPr="006D427B">
        <w:rPr>
          <w:rFonts w:ascii="Söhne" w:hAnsi="Söhne"/>
          <w:szCs w:val="18"/>
        </w:rPr>
        <w:t xml:space="preserve"> J.D. (2008). Oxytetracycline as a treatment for abalone withering syndrome Part II: Efficacy, pharmacokinetics, and </w:t>
      </w:r>
      <w:proofErr w:type="gramStart"/>
      <w:r w:rsidRPr="006D427B">
        <w:rPr>
          <w:rFonts w:ascii="Söhne" w:hAnsi="Söhne"/>
          <w:szCs w:val="18"/>
        </w:rPr>
        <w:t>long term</w:t>
      </w:r>
      <w:proofErr w:type="gramEnd"/>
      <w:r w:rsidRPr="006D427B">
        <w:rPr>
          <w:rFonts w:ascii="Söhne" w:hAnsi="Söhne"/>
          <w:szCs w:val="18"/>
        </w:rPr>
        <w:t xml:space="preserve"> resistance to re-infection at elevated sea water temperatures. </w:t>
      </w:r>
      <w:r w:rsidRPr="006D427B">
        <w:rPr>
          <w:rFonts w:ascii="Söhne" w:hAnsi="Söhne"/>
          <w:i/>
          <w:szCs w:val="18"/>
        </w:rPr>
        <w:t>Aquaculture</w:t>
      </w:r>
      <w:r w:rsidRPr="006D427B">
        <w:rPr>
          <w:rFonts w:ascii="Söhne" w:hAnsi="Söhne"/>
          <w:szCs w:val="18"/>
        </w:rPr>
        <w:t xml:space="preserve">, </w:t>
      </w:r>
      <w:r w:rsidRPr="006D427B">
        <w:rPr>
          <w:rFonts w:ascii="Söhne" w:hAnsi="Söhne"/>
          <w:b/>
          <w:szCs w:val="18"/>
        </w:rPr>
        <w:t>277</w:t>
      </w:r>
      <w:r w:rsidRPr="006D427B">
        <w:rPr>
          <w:rFonts w:ascii="Söhne" w:hAnsi="Söhne"/>
          <w:szCs w:val="18"/>
        </w:rPr>
        <w:t xml:space="preserve">, 138–148. </w:t>
      </w:r>
    </w:p>
    <w:p w14:paraId="1A78B9DF" w14:textId="77777777" w:rsidR="00F36CE6" w:rsidRPr="006D427B" w:rsidRDefault="00F36CE6" w:rsidP="00F36CE6">
      <w:pPr>
        <w:pStyle w:val="REF"/>
        <w:ind w:left="0" w:firstLine="0"/>
        <w:rPr>
          <w:rFonts w:ascii="Söhne" w:hAnsi="Söhne"/>
          <w:szCs w:val="18"/>
        </w:rPr>
      </w:pPr>
      <w:r w:rsidRPr="006D427B">
        <w:rPr>
          <w:rFonts w:ascii="Söhne" w:hAnsi="Söhne"/>
          <w:smallCaps/>
          <w:szCs w:val="18"/>
        </w:rPr>
        <w:t>Steinbeck J.R., Groff J.M., Friedman C.S., McDowell T. &amp; Hedrick R.P.</w:t>
      </w:r>
      <w:r w:rsidRPr="006D427B">
        <w:rPr>
          <w:rFonts w:ascii="Söhne" w:hAnsi="Söhne"/>
          <w:szCs w:val="18"/>
        </w:rPr>
        <w:t xml:space="preserve"> (1992). Investigations into mortality among populations of the California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on the central coast of California, USA. </w:t>
      </w:r>
      <w:r w:rsidRPr="006D427B">
        <w:rPr>
          <w:rFonts w:ascii="Söhne" w:hAnsi="Söhne"/>
          <w:i/>
          <w:szCs w:val="18"/>
        </w:rPr>
        <w:t>In:</w:t>
      </w:r>
      <w:r w:rsidRPr="006D427B">
        <w:rPr>
          <w:rFonts w:ascii="Söhne" w:hAnsi="Söhne"/>
          <w:szCs w:val="18"/>
        </w:rPr>
        <w:t xml:space="preserve"> Abalone of the World, Shepard S.A., Tegner M.J. &amp; Guzman del Proo S.A., eds. Blackwell Scientific, Oxford, UK, 203–213.</w:t>
      </w:r>
    </w:p>
    <w:p w14:paraId="247F6266" w14:textId="77777777" w:rsidR="00F36CE6" w:rsidRPr="006D427B" w:rsidRDefault="00F36CE6" w:rsidP="00F36CE6">
      <w:pPr>
        <w:pStyle w:val="REF"/>
        <w:ind w:left="0" w:firstLine="0"/>
        <w:rPr>
          <w:rFonts w:ascii="Söhne" w:hAnsi="Söhne"/>
          <w:szCs w:val="18"/>
        </w:rPr>
      </w:pPr>
      <w:r w:rsidRPr="006D427B">
        <w:rPr>
          <w:rFonts w:ascii="Söhne" w:hAnsi="Söhne"/>
          <w:smallCaps/>
          <w:szCs w:val="18"/>
        </w:rPr>
        <w:t xml:space="preserve">Tinajero M.D.C.A., Caceres-Martinez J., &amp; Aviles J.G.G. </w:t>
      </w:r>
      <w:r w:rsidRPr="006D427B">
        <w:rPr>
          <w:rFonts w:ascii="Söhne" w:hAnsi="Söhne"/>
          <w:szCs w:val="18"/>
        </w:rPr>
        <w:t xml:space="preserve">(2002) Histopathological evaluation of the yellow abalone </w:t>
      </w:r>
      <w:r w:rsidRPr="006D427B">
        <w:rPr>
          <w:rFonts w:ascii="Söhne" w:hAnsi="Söhne"/>
          <w:i/>
          <w:szCs w:val="18"/>
        </w:rPr>
        <w:t>Haliotis corrugata</w:t>
      </w:r>
      <w:r w:rsidRPr="006D427B">
        <w:rPr>
          <w:rFonts w:ascii="Söhne" w:hAnsi="Söhne"/>
          <w:szCs w:val="18"/>
        </w:rPr>
        <w:t xml:space="preserve"> and the blue abalone </w:t>
      </w:r>
      <w:r w:rsidRPr="006D427B">
        <w:rPr>
          <w:rFonts w:ascii="Söhne" w:hAnsi="Söhne"/>
          <w:i/>
          <w:szCs w:val="18"/>
        </w:rPr>
        <w:t>Haliotis fulgen</w:t>
      </w:r>
      <w:r w:rsidRPr="006D427B">
        <w:rPr>
          <w:rFonts w:ascii="Söhne" w:hAnsi="Söhne"/>
          <w:szCs w:val="18"/>
        </w:rPr>
        <w:t xml:space="preserve">s from Baja California, Mexico.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21</w:t>
      </w:r>
      <w:r w:rsidRPr="006D427B">
        <w:rPr>
          <w:rFonts w:ascii="Söhne" w:hAnsi="Söhne"/>
          <w:szCs w:val="18"/>
        </w:rPr>
        <w:t>, 825–830.</w:t>
      </w:r>
    </w:p>
    <w:p w14:paraId="75CFF4DD" w14:textId="77777777" w:rsidR="00143302" w:rsidRPr="006D427B" w:rsidRDefault="00143302" w:rsidP="00143302">
      <w:pPr>
        <w:pStyle w:val="REF"/>
        <w:ind w:left="0" w:firstLine="0"/>
        <w:rPr>
          <w:rFonts w:ascii="Söhne" w:hAnsi="Söhne"/>
          <w:szCs w:val="18"/>
        </w:rPr>
      </w:pPr>
      <w:r w:rsidRPr="006D427B">
        <w:rPr>
          <w:rFonts w:ascii="Söhne" w:hAnsi="Söhne"/>
          <w:smallCaps/>
          <w:szCs w:val="18"/>
        </w:rPr>
        <w:t xml:space="preserve">Van Blaricom G.R., Ruediger J.L., Friedman C.S., Woodard D.D. &amp; Hedrick R.P. </w:t>
      </w:r>
      <w:r w:rsidRPr="006D427B">
        <w:rPr>
          <w:rFonts w:ascii="Söhne" w:hAnsi="Söhne"/>
          <w:szCs w:val="18"/>
        </w:rPr>
        <w:t xml:space="preserve">(1993). Discovery withering syndrome among black abalone populations at San Nicolas Island, California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12</w:t>
      </w:r>
      <w:r w:rsidRPr="006D427B">
        <w:rPr>
          <w:rFonts w:ascii="Söhne" w:hAnsi="Söhne"/>
          <w:szCs w:val="18"/>
        </w:rPr>
        <w:t>, 185–188.</w:t>
      </w:r>
    </w:p>
    <w:p w14:paraId="45F1B081" w14:textId="77777777" w:rsidR="00143302" w:rsidRPr="006D427B" w:rsidRDefault="00143302" w:rsidP="00143302">
      <w:pPr>
        <w:spacing w:line="240" w:lineRule="auto"/>
        <w:jc w:val="both"/>
        <w:rPr>
          <w:szCs w:val="18"/>
          <w:lang w:val="en-IE"/>
        </w:rPr>
      </w:pPr>
      <w:proofErr w:type="spellStart"/>
      <w:r w:rsidRPr="006D427B">
        <w:rPr>
          <w:smallCaps/>
          <w:szCs w:val="18"/>
          <w:lang w:val="en-IE"/>
        </w:rPr>
        <w:t>Wetchateng</w:t>
      </w:r>
      <w:proofErr w:type="spellEnd"/>
      <w:r w:rsidRPr="006D427B">
        <w:rPr>
          <w:szCs w:val="18"/>
          <w:lang w:val="en-IE"/>
        </w:rPr>
        <w:t xml:space="preserve"> T. (2008). </w:t>
      </w:r>
      <w:r w:rsidRPr="006D427B">
        <w:rPr>
          <w:i/>
          <w:szCs w:val="18"/>
          <w:lang w:val="en-IE"/>
        </w:rPr>
        <w:t>Rickettsia</w:t>
      </w:r>
      <w:r w:rsidRPr="006D427B">
        <w:rPr>
          <w:szCs w:val="18"/>
          <w:lang w:val="en-IE"/>
        </w:rPr>
        <w:t xml:space="preserve">-like organism (RLO) infection in the abalone </w:t>
      </w:r>
      <w:r w:rsidRPr="006D427B">
        <w:rPr>
          <w:i/>
          <w:szCs w:val="18"/>
          <w:lang w:val="en-IE"/>
        </w:rPr>
        <w:t xml:space="preserve">Haliotis </w:t>
      </w:r>
      <w:proofErr w:type="spellStart"/>
      <w:r w:rsidRPr="006D427B">
        <w:rPr>
          <w:i/>
          <w:szCs w:val="18"/>
          <w:lang w:val="en-IE"/>
        </w:rPr>
        <w:t>diversicolor</w:t>
      </w:r>
      <w:proofErr w:type="spellEnd"/>
      <w:r w:rsidRPr="006D427B">
        <w:rPr>
          <w:i/>
          <w:szCs w:val="18"/>
          <w:lang w:val="en-IE"/>
        </w:rPr>
        <w:t xml:space="preserve"> </w:t>
      </w:r>
      <w:proofErr w:type="spellStart"/>
      <w:r w:rsidRPr="006D427B">
        <w:rPr>
          <w:i/>
          <w:szCs w:val="18"/>
          <w:lang w:val="en-IE"/>
        </w:rPr>
        <w:t>supertexta</w:t>
      </w:r>
      <w:proofErr w:type="spellEnd"/>
      <w:r w:rsidRPr="006D427B">
        <w:rPr>
          <w:szCs w:val="18"/>
          <w:lang w:val="en-IE"/>
        </w:rPr>
        <w:t>: Histopathology, diagnosis and treatment. PhD. Dissertation, Mahidol University, Bangkok, Thailand, 49 pp.</w:t>
      </w:r>
    </w:p>
    <w:p w14:paraId="640D2631" w14:textId="49D0ABE9" w:rsidR="00143302" w:rsidRPr="006D427B" w:rsidRDefault="00143302" w:rsidP="00143302">
      <w:pPr>
        <w:spacing w:line="240" w:lineRule="auto"/>
        <w:jc w:val="both"/>
        <w:rPr>
          <w:szCs w:val="18"/>
          <w:lang w:val="en-IE"/>
        </w:rPr>
      </w:pPr>
      <w:proofErr w:type="spellStart"/>
      <w:r w:rsidRPr="006D427B">
        <w:rPr>
          <w:smallCaps/>
          <w:szCs w:val="18"/>
          <w:lang w:val="en-IE"/>
        </w:rPr>
        <w:lastRenderedPageBreak/>
        <w:t>Wetchateng</w:t>
      </w:r>
      <w:proofErr w:type="spellEnd"/>
      <w:r w:rsidRPr="006D427B">
        <w:rPr>
          <w:szCs w:val="18"/>
          <w:lang w:val="en-IE"/>
        </w:rPr>
        <w:t xml:space="preserve"> T., F</w:t>
      </w:r>
      <w:r w:rsidRPr="006D427B">
        <w:rPr>
          <w:smallCaps/>
          <w:szCs w:val="18"/>
          <w:lang w:val="en-IE"/>
        </w:rPr>
        <w:t>riedman</w:t>
      </w:r>
      <w:r w:rsidRPr="006D427B">
        <w:rPr>
          <w:szCs w:val="18"/>
          <w:lang w:val="en-IE"/>
        </w:rPr>
        <w:t xml:space="preserve"> C.S., W</w:t>
      </w:r>
      <w:r w:rsidRPr="006D427B">
        <w:rPr>
          <w:smallCaps/>
          <w:szCs w:val="18"/>
          <w:lang w:val="en-IE"/>
        </w:rPr>
        <w:t>ight</w:t>
      </w:r>
      <w:r w:rsidRPr="006D427B">
        <w:rPr>
          <w:szCs w:val="18"/>
          <w:lang w:val="en-IE"/>
        </w:rPr>
        <w:t xml:space="preserve"> N.A., L</w:t>
      </w:r>
      <w:r w:rsidRPr="006D427B">
        <w:rPr>
          <w:smallCaps/>
          <w:szCs w:val="18"/>
          <w:lang w:val="en-IE"/>
        </w:rPr>
        <w:t>ee</w:t>
      </w:r>
      <w:r w:rsidRPr="006D427B">
        <w:rPr>
          <w:szCs w:val="18"/>
          <w:lang w:val="en-IE"/>
        </w:rPr>
        <w:t xml:space="preserve"> P.-Y., T</w:t>
      </w:r>
      <w:r w:rsidRPr="006D427B">
        <w:rPr>
          <w:smallCaps/>
          <w:szCs w:val="18"/>
          <w:lang w:val="en-IE"/>
        </w:rPr>
        <w:t>eng</w:t>
      </w:r>
      <w:r w:rsidRPr="006D427B">
        <w:rPr>
          <w:szCs w:val="18"/>
          <w:lang w:val="en-IE"/>
        </w:rPr>
        <w:t xml:space="preserve"> P.H., </w:t>
      </w:r>
      <w:proofErr w:type="spellStart"/>
      <w:r w:rsidRPr="006D427B">
        <w:rPr>
          <w:color w:val="000000"/>
          <w:szCs w:val="18"/>
          <w:lang w:val="en-IE"/>
        </w:rPr>
        <w:t>S</w:t>
      </w:r>
      <w:r w:rsidRPr="006D427B">
        <w:rPr>
          <w:smallCaps/>
          <w:color w:val="000000"/>
          <w:szCs w:val="18"/>
          <w:lang w:val="en-IE"/>
        </w:rPr>
        <w:t>riurairattana</w:t>
      </w:r>
      <w:proofErr w:type="spellEnd"/>
      <w:r w:rsidRPr="006D427B">
        <w:rPr>
          <w:color w:val="000000"/>
          <w:szCs w:val="18"/>
          <w:lang w:val="en-IE"/>
        </w:rPr>
        <w:t xml:space="preserve"> S., </w:t>
      </w:r>
      <w:proofErr w:type="spellStart"/>
      <w:r w:rsidRPr="006D427B">
        <w:rPr>
          <w:color w:val="000000"/>
          <w:szCs w:val="18"/>
          <w:lang w:val="en-IE"/>
        </w:rPr>
        <w:t>W</w:t>
      </w:r>
      <w:r w:rsidRPr="006D427B">
        <w:rPr>
          <w:smallCaps/>
          <w:color w:val="000000"/>
          <w:szCs w:val="18"/>
          <w:lang w:val="en-IE"/>
        </w:rPr>
        <w:t>ongprasert</w:t>
      </w:r>
      <w:proofErr w:type="spellEnd"/>
      <w:r w:rsidRPr="006D427B">
        <w:rPr>
          <w:color w:val="000000"/>
          <w:szCs w:val="18"/>
          <w:lang w:val="en-IE"/>
        </w:rPr>
        <w:t xml:space="preserve"> K. &amp; </w:t>
      </w:r>
      <w:proofErr w:type="spellStart"/>
      <w:r w:rsidRPr="006D427B">
        <w:rPr>
          <w:color w:val="000000"/>
          <w:szCs w:val="18"/>
          <w:lang w:val="en-IE"/>
        </w:rPr>
        <w:t>W</w:t>
      </w:r>
      <w:r w:rsidRPr="006D427B">
        <w:rPr>
          <w:smallCaps/>
          <w:color w:val="000000"/>
          <w:szCs w:val="18"/>
          <w:lang w:val="en-IE"/>
        </w:rPr>
        <w:t>ithyachumnarnkul</w:t>
      </w:r>
      <w:proofErr w:type="spellEnd"/>
      <w:r w:rsidRPr="006D427B">
        <w:rPr>
          <w:color w:val="000000"/>
          <w:szCs w:val="18"/>
          <w:lang w:val="en-IE"/>
        </w:rPr>
        <w:t xml:space="preserve"> B. (2010). </w:t>
      </w:r>
      <w:r w:rsidRPr="006D427B">
        <w:rPr>
          <w:color w:val="000000"/>
          <w:szCs w:val="18"/>
          <w:lang w:val="en-GB"/>
        </w:rPr>
        <w:t xml:space="preserve">Withering syndrome in abalone </w:t>
      </w:r>
      <w:proofErr w:type="spellStart"/>
      <w:r w:rsidRPr="006D427B">
        <w:rPr>
          <w:i/>
          <w:iCs/>
          <w:color w:val="000000"/>
          <w:szCs w:val="18"/>
          <w:lang w:val="en-GB"/>
        </w:rPr>
        <w:t>Halioits</w:t>
      </w:r>
      <w:proofErr w:type="spellEnd"/>
      <w:r w:rsidRPr="006D427B">
        <w:rPr>
          <w:i/>
          <w:iCs/>
          <w:color w:val="000000"/>
          <w:szCs w:val="18"/>
          <w:lang w:val="en-GB"/>
        </w:rPr>
        <w:t xml:space="preserve"> </w:t>
      </w:r>
      <w:proofErr w:type="spellStart"/>
      <w:r w:rsidRPr="006D427B">
        <w:rPr>
          <w:i/>
          <w:iCs/>
          <w:color w:val="000000"/>
          <w:szCs w:val="18"/>
          <w:lang w:val="en-GB"/>
        </w:rPr>
        <w:t>diversicolor</w:t>
      </w:r>
      <w:proofErr w:type="spellEnd"/>
      <w:r w:rsidRPr="006D427B">
        <w:rPr>
          <w:i/>
          <w:iCs/>
          <w:color w:val="000000"/>
          <w:szCs w:val="18"/>
          <w:lang w:val="en-GB"/>
        </w:rPr>
        <w:t xml:space="preserve"> </w:t>
      </w:r>
      <w:proofErr w:type="spellStart"/>
      <w:r w:rsidRPr="006D427B">
        <w:rPr>
          <w:i/>
          <w:iCs/>
          <w:color w:val="000000"/>
          <w:szCs w:val="18"/>
          <w:lang w:val="en-GB"/>
        </w:rPr>
        <w:t>supertexta</w:t>
      </w:r>
      <w:proofErr w:type="spellEnd"/>
      <w:r w:rsidRPr="006D427B">
        <w:rPr>
          <w:color w:val="000000"/>
          <w:szCs w:val="18"/>
          <w:lang w:val="en-GB"/>
        </w:rPr>
        <w:t xml:space="preserve">. </w:t>
      </w:r>
      <w:r w:rsidRPr="006D427B">
        <w:rPr>
          <w:i/>
          <w:szCs w:val="18"/>
          <w:lang w:val="en-IE"/>
        </w:rPr>
        <w:t xml:space="preserve">Dis. </w:t>
      </w:r>
      <w:proofErr w:type="spellStart"/>
      <w:r w:rsidRPr="006D427B">
        <w:rPr>
          <w:i/>
          <w:szCs w:val="18"/>
          <w:lang w:val="en-IE"/>
        </w:rPr>
        <w:t>Aquat</w:t>
      </w:r>
      <w:proofErr w:type="spellEnd"/>
      <w:r w:rsidRPr="006D427B">
        <w:rPr>
          <w:i/>
          <w:szCs w:val="18"/>
          <w:lang w:val="en-IE"/>
        </w:rPr>
        <w:t xml:space="preserve">. Organ., </w:t>
      </w:r>
      <w:r w:rsidRPr="006D427B">
        <w:rPr>
          <w:b/>
          <w:szCs w:val="18"/>
          <w:lang w:val="en-IE"/>
        </w:rPr>
        <w:t>90</w:t>
      </w:r>
      <w:r w:rsidRPr="006D427B">
        <w:rPr>
          <w:szCs w:val="18"/>
          <w:lang w:val="en-IE"/>
        </w:rPr>
        <w:t>, 69–76.</w:t>
      </w:r>
    </w:p>
    <w:p w14:paraId="4A6CE173" w14:textId="77777777" w:rsidR="00E421F1" w:rsidRPr="006D427B" w:rsidRDefault="00E421F1" w:rsidP="00E421F1">
      <w:pPr>
        <w:pStyle w:val="Para1"/>
        <w:jc w:val="center"/>
      </w:pPr>
      <w:r w:rsidRPr="006D427B">
        <w:t>*</w:t>
      </w:r>
      <w:r w:rsidRPr="006D427B">
        <w:br/>
        <w:t>*   *</w:t>
      </w:r>
    </w:p>
    <w:p w14:paraId="2D091AB2" w14:textId="2533FE89" w:rsidR="00A87822" w:rsidRPr="006D427B" w:rsidRDefault="00A87822" w:rsidP="00A87822">
      <w:pPr>
        <w:spacing w:before="120" w:line="240" w:lineRule="auto"/>
        <w:jc w:val="center"/>
        <w:rPr>
          <w:rFonts w:cs="Arial"/>
          <w:szCs w:val="18"/>
          <w:lang w:val="en-IE"/>
        </w:rPr>
      </w:pPr>
      <w:r w:rsidRPr="006D427B">
        <w:rPr>
          <w:rFonts w:cs="Arial"/>
          <w:b/>
          <w:bCs/>
          <w:szCs w:val="18"/>
          <w:lang w:val="en-IE"/>
        </w:rPr>
        <w:t>NB:</w:t>
      </w:r>
      <w:r w:rsidRPr="006D427B">
        <w:rPr>
          <w:rFonts w:cs="Arial"/>
          <w:szCs w:val="18"/>
          <w:lang w:val="en-IE"/>
        </w:rPr>
        <w:t xml:space="preserve"> Currently (202</w:t>
      </w:r>
      <w:r w:rsidR="00E421F1" w:rsidRPr="006D427B">
        <w:rPr>
          <w:rFonts w:cs="Arial"/>
          <w:szCs w:val="18"/>
          <w:lang w:val="en-IE"/>
        </w:rPr>
        <w:t>5</w:t>
      </w:r>
      <w:r w:rsidRPr="006D427B">
        <w:rPr>
          <w:rFonts w:cs="Arial"/>
          <w:szCs w:val="18"/>
          <w:lang w:val="en-IE"/>
        </w:rPr>
        <w:t xml:space="preserve">) there is no WOAH Reference Laboratory for infection with </w:t>
      </w:r>
      <w:r w:rsidR="00E421F1" w:rsidRPr="006D427B">
        <w:rPr>
          <w:rFonts w:cs="Arial"/>
          <w:i/>
          <w:iCs/>
          <w:szCs w:val="18"/>
          <w:lang w:val="en-IE"/>
        </w:rPr>
        <w:t>Xenohaliotis californiensis</w:t>
      </w:r>
      <w:r w:rsidRPr="006D427B">
        <w:rPr>
          <w:rFonts w:cs="Arial"/>
          <w:iCs/>
          <w:szCs w:val="18"/>
          <w:lang w:val="en-IE"/>
        </w:rPr>
        <w:br/>
      </w:r>
      <w:r w:rsidRPr="006D427B">
        <w:rPr>
          <w:rFonts w:cs="Arial"/>
          <w:szCs w:val="18"/>
          <w:lang w:val="en-IE"/>
        </w:rPr>
        <w:t xml:space="preserve">(please consult the WOAH web site: </w:t>
      </w:r>
      <w:r w:rsidRPr="006D427B">
        <w:rPr>
          <w:rFonts w:cs="Arial"/>
          <w:szCs w:val="18"/>
          <w:lang w:val="en-IE"/>
        </w:rPr>
        <w:br/>
      </w:r>
      <w:hyperlink r:id="rId20" w:anchor="ui-id-3" w:history="1">
        <w:r w:rsidRPr="006D427B">
          <w:rPr>
            <w:rStyle w:val="Hyperlink"/>
            <w:lang w:val="en-IE"/>
          </w:rPr>
          <w:t>https://www.woah.org/en/what-we-offer/expertise-network/reference-laboratories/#ui-id-3</w:t>
        </w:r>
      </w:hyperlink>
      <w:r w:rsidRPr="006D427B">
        <w:rPr>
          <w:rStyle w:val="ReflabnoteCar"/>
          <w:lang w:val="en-IE"/>
        </w:rPr>
        <w:t>).</w:t>
      </w:r>
    </w:p>
    <w:p w14:paraId="5151E6F8" w14:textId="19685E64" w:rsidR="00A87822" w:rsidRPr="00C31C1A" w:rsidRDefault="00A87822" w:rsidP="00A87822">
      <w:pPr>
        <w:spacing w:line="240" w:lineRule="auto"/>
        <w:jc w:val="center"/>
        <w:rPr>
          <w:rFonts w:cs="Arial"/>
          <w:b/>
          <w:bCs/>
          <w:szCs w:val="18"/>
          <w:lang w:val="en-IE"/>
        </w:rPr>
      </w:pPr>
      <w:r w:rsidRPr="006D427B">
        <w:rPr>
          <w:rFonts w:cs="Arial"/>
          <w:b/>
          <w:bCs/>
          <w:smallCaps/>
          <w:szCs w:val="18"/>
          <w:lang w:val="en-IE"/>
        </w:rPr>
        <w:t>NB:</w:t>
      </w:r>
      <w:r w:rsidRPr="006D427B">
        <w:rPr>
          <w:rFonts w:cs="Arial"/>
          <w:bCs/>
          <w:smallCaps/>
          <w:szCs w:val="18"/>
          <w:lang w:val="en-IE"/>
        </w:rPr>
        <w:t xml:space="preserve"> First adopted in </w:t>
      </w:r>
      <w:r w:rsidR="004B2039" w:rsidRPr="006D427B">
        <w:rPr>
          <w:rFonts w:cs="Arial"/>
          <w:bCs/>
          <w:smallCaps/>
          <w:szCs w:val="18"/>
          <w:lang w:val="en-IE"/>
        </w:rPr>
        <w:t>2006</w:t>
      </w:r>
      <w:r w:rsidRPr="006D427B">
        <w:rPr>
          <w:rFonts w:cs="Arial"/>
          <w:bCs/>
          <w:smallCaps/>
          <w:szCs w:val="18"/>
          <w:lang w:val="en-IE"/>
        </w:rPr>
        <w:t>. Most recent updates adopted in 20</w:t>
      </w:r>
      <w:r w:rsidR="004B2039" w:rsidRPr="006D427B">
        <w:rPr>
          <w:rFonts w:cs="Arial"/>
          <w:bCs/>
          <w:smallCaps/>
          <w:szCs w:val="18"/>
          <w:lang w:val="en-IE"/>
        </w:rPr>
        <w:t>12.</w:t>
      </w:r>
    </w:p>
    <w:p w14:paraId="50677BE7" w14:textId="77777777" w:rsidR="00A87822" w:rsidRPr="00437CE1" w:rsidRDefault="00A87822" w:rsidP="00FB2F0B">
      <w:pPr>
        <w:pStyle w:val="Para3"/>
        <w:ind w:left="0"/>
      </w:pPr>
    </w:p>
    <w:sectPr w:rsidR="00A87822" w:rsidRPr="00437CE1" w:rsidSect="00BC4790">
      <w:foot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0B17" w14:textId="77777777" w:rsidR="00047849" w:rsidRDefault="00047849" w:rsidP="00ED0F29">
      <w:pPr>
        <w:spacing w:after="0" w:line="240" w:lineRule="auto"/>
      </w:pPr>
      <w:r>
        <w:separator/>
      </w:r>
    </w:p>
  </w:endnote>
  <w:endnote w:type="continuationSeparator" w:id="0">
    <w:p w14:paraId="2DAFCDF3" w14:textId="77777777" w:rsidR="00047849" w:rsidRDefault="00047849" w:rsidP="00ED0F29">
      <w:pPr>
        <w:spacing w:after="0" w:line="240" w:lineRule="auto"/>
      </w:pPr>
      <w:r>
        <w:continuationSeparator/>
      </w:r>
    </w:p>
  </w:endnote>
  <w:endnote w:type="continuationNotice" w:id="1">
    <w:p w14:paraId="650BE0A0" w14:textId="77777777" w:rsidR="00047849" w:rsidRDefault="00047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öhne Halbfett">
    <w:altName w:val="Calibri"/>
    <w:panose1 w:val="00000000000000000000"/>
    <w:charset w:val="00"/>
    <w:family w:val="swiss"/>
    <w:notTrueType/>
    <w:pitch w:val="variable"/>
    <w:sig w:usb0="20000007" w:usb1="10000001" w:usb2="00000000" w:usb3="00000000" w:csb0="00000193" w:csb1="00000000"/>
  </w:font>
  <w:font w:name="Yu Mincho">
    <w:charset w:val="80"/>
    <w:family w:val="roman"/>
    <w:pitch w:val="variable"/>
    <w:sig w:usb0="800002E7" w:usb1="2AC7FCFF" w:usb2="00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CC78B4" w:rsidRPr="00AB732C" w14:paraId="281DF72C" w14:textId="77777777" w:rsidTr="00A41BA5">
      <w:trPr>
        <w:trHeight w:val="411"/>
        <w:jc w:val="center"/>
      </w:trPr>
      <w:tc>
        <w:tcPr>
          <w:tcW w:w="9491" w:type="dxa"/>
        </w:tcPr>
        <w:p w14:paraId="572914ED" w14:textId="4670E628"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5E14BCC2"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77" w:type="dxa"/>
        </w:tcPr>
        <w:p w14:paraId="5C9A578F" w14:textId="77777777" w:rsidR="00CC78B4" w:rsidRPr="00AB732C" w:rsidRDefault="00CC78B4" w:rsidP="00CC78B4">
          <w:pPr>
            <w:tabs>
              <w:tab w:val="right" w:pos="9072"/>
            </w:tabs>
            <w:spacing w:before="360"/>
            <w:jc w:val="right"/>
            <w:rPr>
              <w:rFonts w:ascii="Arial" w:hAnsi="Arial"/>
            </w:rPr>
          </w:pPr>
        </w:p>
      </w:tc>
    </w:tr>
  </w:tbl>
  <w:p w14:paraId="773CB5BE" w14:textId="273A0389" w:rsidR="00ED0F29" w:rsidRPr="00D255FC" w:rsidRDefault="00ED0F29" w:rsidP="00D255F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CC78B4" w:rsidRPr="00AB732C" w14:paraId="6A3A1E32" w14:textId="77777777">
      <w:trPr>
        <w:jc w:val="center"/>
      </w:trPr>
      <w:tc>
        <w:tcPr>
          <w:tcW w:w="9491" w:type="dxa"/>
        </w:tcPr>
        <w:p w14:paraId="3AD6EF83" w14:textId="656B7B4C"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62AF55FF"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77" w:type="dxa"/>
        </w:tcPr>
        <w:p w14:paraId="7B82F691" w14:textId="77777777" w:rsidR="00CC78B4" w:rsidRPr="00AB732C" w:rsidRDefault="00CC78B4" w:rsidP="00CC78B4">
          <w:pPr>
            <w:tabs>
              <w:tab w:val="right" w:pos="9072"/>
            </w:tabs>
            <w:spacing w:before="360"/>
            <w:jc w:val="right"/>
            <w:rPr>
              <w:rFonts w:ascii="Arial" w:hAnsi="Arial"/>
            </w:rPr>
          </w:pPr>
        </w:p>
      </w:tc>
    </w:tr>
  </w:tbl>
  <w:p w14:paraId="1B5C40EC" w14:textId="349C5B25" w:rsidR="00ED0F29" w:rsidRPr="00CC78B4" w:rsidRDefault="00ED0F29" w:rsidP="00CC78B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817AAE" w:rsidRPr="00AB732C" w14:paraId="1282CB08" w14:textId="77777777">
      <w:trPr>
        <w:jc w:val="center"/>
      </w:trPr>
      <w:tc>
        <w:tcPr>
          <w:tcW w:w="9491" w:type="dxa"/>
        </w:tcPr>
        <w:p w14:paraId="747B2D89" w14:textId="095591E2" w:rsidR="00817AAE" w:rsidRPr="00A41BA5" w:rsidRDefault="00817AAE" w:rsidP="00817AAE">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p>
      </w:tc>
      <w:tc>
        <w:tcPr>
          <w:tcW w:w="209" w:type="dxa"/>
        </w:tcPr>
        <w:p w14:paraId="348EC5A0" w14:textId="77777777" w:rsidR="00817AAE" w:rsidRPr="00AB732C" w:rsidRDefault="00817AAE" w:rsidP="00817AAE">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77" w:type="dxa"/>
        </w:tcPr>
        <w:p w14:paraId="6440517B" w14:textId="77777777" w:rsidR="00817AAE" w:rsidRPr="00AB732C" w:rsidRDefault="00817AAE" w:rsidP="00817AAE">
          <w:pPr>
            <w:tabs>
              <w:tab w:val="right" w:pos="9072"/>
            </w:tabs>
            <w:spacing w:before="360"/>
            <w:jc w:val="right"/>
            <w:rPr>
              <w:rFonts w:ascii="Arial" w:hAnsi="Arial"/>
            </w:rPr>
          </w:pPr>
        </w:p>
      </w:tc>
    </w:tr>
  </w:tbl>
  <w:p w14:paraId="5B99256A" w14:textId="7D0FFE7A" w:rsidR="00ED0F29" w:rsidRPr="00ED0F29" w:rsidRDefault="00ED0F29" w:rsidP="00182C38">
    <w:pPr>
      <w:pStyle w:val="Footer"/>
      <w:pBdr>
        <w:top w:val="none" w:sz="0" w:space="0" w:color="auto"/>
      </w:pBdr>
    </w:pPr>
    <w:r w:rsidRPr="00ED0F29">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651"/>
      <w:gridCol w:w="323"/>
      <w:gridCol w:w="428"/>
    </w:tblGrid>
    <w:tr w:rsidR="00CC78B4" w:rsidRPr="00AB732C" w14:paraId="2D95EAFB" w14:textId="77777777">
      <w:trPr>
        <w:jc w:val="center"/>
      </w:trPr>
      <w:tc>
        <w:tcPr>
          <w:tcW w:w="9491" w:type="dxa"/>
        </w:tcPr>
        <w:p w14:paraId="3A4EF759" w14:textId="74634CBD"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0273DD17"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Pr>
              <w:rFonts w:ascii="Arial" w:hAnsi="Arial"/>
            </w:rPr>
            <w:t>9</w:t>
          </w:r>
          <w:r w:rsidRPr="00AB732C">
            <w:rPr>
              <w:rFonts w:ascii="Arial" w:hAnsi="Arial"/>
            </w:rPr>
            <w:fldChar w:fldCharType="end"/>
          </w:r>
        </w:p>
      </w:tc>
      <w:tc>
        <w:tcPr>
          <w:tcW w:w="277" w:type="dxa"/>
        </w:tcPr>
        <w:p w14:paraId="31F560F8" w14:textId="77777777" w:rsidR="00CC78B4" w:rsidRPr="00AB732C" w:rsidRDefault="00CC78B4" w:rsidP="00CC78B4">
          <w:pPr>
            <w:tabs>
              <w:tab w:val="right" w:pos="9072"/>
            </w:tabs>
            <w:spacing w:before="360"/>
            <w:jc w:val="right"/>
            <w:rPr>
              <w:rFonts w:ascii="Arial" w:hAnsi="Arial"/>
            </w:rPr>
          </w:pPr>
        </w:p>
      </w:tc>
    </w:tr>
  </w:tbl>
  <w:p w14:paraId="6B646457" w14:textId="77777777" w:rsidR="00CC78B4" w:rsidRPr="00CC78B4" w:rsidRDefault="00CC78B4" w:rsidP="00CC78B4">
    <w:pPr>
      <w:pStyle w:val="Footer"/>
      <w:pBdr>
        <w:top w:val="none" w:sz="0" w:space="0" w:color="auto"/>
      </w:pBdr>
    </w:pPr>
  </w:p>
  <w:p w14:paraId="48C6EF29" w14:textId="2C3C5084" w:rsidR="00BC4790" w:rsidRPr="00ED0F29" w:rsidRDefault="00BC4790" w:rsidP="00CC78B4">
    <w:pPr>
      <w:pStyle w:val="Footer"/>
      <w:pBdr>
        <w:top w:val="none" w:sz="0" w:space="0" w:color="auto"/>
      </w:pBdr>
      <w:tabs>
        <w:tab w:val="clear" w:pos="9072"/>
        <w:tab w:val="right" w:pos="14175"/>
      </w:tabs>
    </w:pPr>
    <w:r w:rsidRPr="00ED0F29">
      <w:tab/>
    </w:r>
    <w:r w:rsidRPr="00ED0F29">
      <w:fldChar w:fldCharType="begin"/>
    </w:r>
    <w:r w:rsidRPr="00ED0F29">
      <w:instrText xml:space="preserve"> PAGE </w:instrText>
    </w:r>
    <w:r w:rsidRPr="00ED0F29">
      <w:fldChar w:fldCharType="separate"/>
    </w:r>
    <w:r w:rsidRPr="00ED0F29">
      <w:t>1</w:t>
    </w:r>
    <w:r w:rsidRPr="00ED0F2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CC78B4" w:rsidRPr="00AB732C" w14:paraId="24F12889" w14:textId="77777777">
      <w:trPr>
        <w:jc w:val="center"/>
      </w:trPr>
      <w:tc>
        <w:tcPr>
          <w:tcW w:w="9491" w:type="dxa"/>
        </w:tcPr>
        <w:p w14:paraId="056A508D" w14:textId="2542BB4A"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5AA0D6E9"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Pr>
              <w:rFonts w:ascii="Arial" w:hAnsi="Arial"/>
            </w:rPr>
            <w:t>9</w:t>
          </w:r>
          <w:r w:rsidRPr="00AB732C">
            <w:rPr>
              <w:rFonts w:ascii="Arial" w:hAnsi="Arial"/>
            </w:rPr>
            <w:fldChar w:fldCharType="end"/>
          </w:r>
        </w:p>
      </w:tc>
      <w:tc>
        <w:tcPr>
          <w:tcW w:w="277" w:type="dxa"/>
        </w:tcPr>
        <w:p w14:paraId="6761907E" w14:textId="77777777" w:rsidR="00CC78B4" w:rsidRPr="00AB732C" w:rsidRDefault="00CC78B4" w:rsidP="00CC78B4">
          <w:pPr>
            <w:tabs>
              <w:tab w:val="right" w:pos="9072"/>
            </w:tabs>
            <w:spacing w:before="360"/>
            <w:jc w:val="right"/>
            <w:rPr>
              <w:rFonts w:ascii="Arial" w:hAnsi="Arial"/>
            </w:rPr>
          </w:pPr>
        </w:p>
      </w:tc>
    </w:tr>
  </w:tbl>
  <w:p w14:paraId="52ACE5C9" w14:textId="77777777" w:rsidR="00CC78B4" w:rsidRPr="00CC78B4" w:rsidRDefault="00CC78B4" w:rsidP="00CC78B4">
    <w:pPr>
      <w:pStyle w:val="Footer"/>
      <w:pBdr>
        <w:top w:val="none" w:sz="0" w:space="0" w:color="auto"/>
      </w:pBdr>
    </w:pPr>
  </w:p>
  <w:p w14:paraId="2B805D3B" w14:textId="20E9922D" w:rsidR="00BC4790" w:rsidRPr="00CC78B4" w:rsidRDefault="00BC4790" w:rsidP="00CC78B4">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5059" w14:textId="77777777" w:rsidR="00047849" w:rsidRDefault="00047849" w:rsidP="00ED0F29">
      <w:pPr>
        <w:spacing w:after="0" w:line="240" w:lineRule="auto"/>
      </w:pPr>
      <w:r>
        <w:separator/>
      </w:r>
    </w:p>
  </w:footnote>
  <w:footnote w:type="continuationSeparator" w:id="0">
    <w:p w14:paraId="444A7F20" w14:textId="77777777" w:rsidR="00047849" w:rsidRDefault="00047849" w:rsidP="00ED0F29">
      <w:pPr>
        <w:spacing w:after="0" w:line="240" w:lineRule="auto"/>
      </w:pPr>
      <w:r>
        <w:continuationSeparator/>
      </w:r>
    </w:p>
  </w:footnote>
  <w:footnote w:type="continuationNotice" w:id="1">
    <w:p w14:paraId="6D3DDACC" w14:textId="77777777" w:rsidR="00047849" w:rsidRDefault="00047849">
      <w:pPr>
        <w:spacing w:after="0" w:line="240" w:lineRule="auto"/>
      </w:pPr>
    </w:p>
  </w:footnote>
  <w:footnote w:id="2">
    <w:p w14:paraId="56528437" w14:textId="77777777" w:rsidR="00BC4790" w:rsidRPr="007425EF" w:rsidRDefault="00BC4790" w:rsidP="00BC4790">
      <w:pPr>
        <w:pStyle w:val="FootnoteText"/>
        <w:ind w:left="425" w:hanging="425"/>
        <w:rPr>
          <w:rFonts w:ascii="Söhne" w:hAnsi="Söhne" w:cs="Arial"/>
          <w:sz w:val="16"/>
          <w:szCs w:val="16"/>
          <w:lang w:val="en-GB"/>
        </w:rPr>
      </w:pPr>
      <w:r w:rsidRPr="007425EF">
        <w:rPr>
          <w:rStyle w:val="FootnoteReference"/>
          <w:rFonts w:ascii="Söhne" w:hAnsi="Söhne" w:cs="Arial"/>
          <w:sz w:val="16"/>
          <w:szCs w:val="16"/>
          <w:vertAlign w:val="baseline"/>
        </w:rPr>
        <w:footnoteRef/>
      </w:r>
      <w:r w:rsidRPr="007425EF">
        <w:rPr>
          <w:rFonts w:ascii="Söhne" w:hAnsi="Söhne" w:cs="Arial"/>
          <w:sz w:val="16"/>
          <w:szCs w:val="16"/>
          <w:lang w:val="en-GB"/>
        </w:rPr>
        <w:t xml:space="preserve"> </w:t>
      </w:r>
      <w:r w:rsidRPr="007425EF">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D255FC" w:rsidRPr="00AB732C" w14:paraId="7285D7D0" w14:textId="77777777">
      <w:trPr>
        <w:trHeight w:val="58"/>
        <w:jc w:val="center"/>
      </w:trPr>
      <w:tc>
        <w:tcPr>
          <w:tcW w:w="10774" w:type="dxa"/>
        </w:tcPr>
        <w:p w14:paraId="7EB14A8C" w14:textId="77777777" w:rsidR="00D255FC" w:rsidRPr="00AB732C" w:rsidRDefault="00D255FC" w:rsidP="00D255FC">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13B5499D" w14:textId="77777777" w:rsidR="00D255FC" w:rsidRPr="00FB5DAF" w:rsidRDefault="00D255FC" w:rsidP="00D255FC">
    <w:pPr>
      <w:pStyle w:val="Header"/>
      <w:pBdr>
        <w:bottom w:val="none" w:sz="0" w:space="0" w:color="auto"/>
      </w:pBdr>
      <w:jc w:val="left"/>
    </w:pPr>
  </w:p>
  <w:p w14:paraId="6A691DE2" w14:textId="3F3CAAE8" w:rsidR="00ED0F29" w:rsidRPr="00817AAE" w:rsidRDefault="00ED0F29" w:rsidP="00817AA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CC78B4" w:rsidRPr="00AB732C" w14:paraId="289F3D5E" w14:textId="77777777">
      <w:trPr>
        <w:trHeight w:val="58"/>
        <w:jc w:val="center"/>
      </w:trPr>
      <w:tc>
        <w:tcPr>
          <w:tcW w:w="10774" w:type="dxa"/>
        </w:tcPr>
        <w:p w14:paraId="7470DB70" w14:textId="77777777" w:rsidR="00CC78B4" w:rsidRPr="00AB732C" w:rsidRDefault="00CC78B4" w:rsidP="00CC78B4">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0002055C" w14:textId="77777777" w:rsidR="00CC78B4" w:rsidRPr="00FB5DAF" w:rsidRDefault="00CC78B4" w:rsidP="00CC78B4">
    <w:pPr>
      <w:pStyle w:val="Header"/>
      <w:pBdr>
        <w:bottom w:val="none" w:sz="0" w:space="0" w:color="auto"/>
      </w:pBdr>
      <w:jc w:val="left"/>
    </w:pPr>
  </w:p>
  <w:p w14:paraId="37AB280A" w14:textId="7B3B7FA2" w:rsidR="00ED0F29" w:rsidRPr="00CC78B4" w:rsidRDefault="00ED0F29" w:rsidP="00CC78B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182C38" w:rsidRPr="00AB732C" w14:paraId="10F1B80C" w14:textId="77777777">
      <w:trPr>
        <w:trHeight w:val="58"/>
        <w:jc w:val="center"/>
      </w:trPr>
      <w:tc>
        <w:tcPr>
          <w:tcW w:w="10774" w:type="dxa"/>
        </w:tcPr>
        <w:p w14:paraId="7E795D00" w14:textId="3D11DCBC" w:rsidR="00182C38" w:rsidRPr="00AB732C" w:rsidRDefault="00182C38" w:rsidP="00182C38">
          <w:pPr>
            <w:tabs>
              <w:tab w:val="left" w:pos="4984"/>
              <w:tab w:val="left" w:pos="5284"/>
              <w:tab w:val="left" w:pos="5848"/>
              <w:tab w:val="left" w:pos="6630"/>
              <w:tab w:val="left" w:pos="8151"/>
            </w:tabs>
            <w:spacing w:after="240" w:line="259" w:lineRule="auto"/>
            <w:rPr>
              <w:rFonts w:ascii="Arial" w:hAnsi="Arial"/>
              <w:sz w:val="20"/>
            </w:rPr>
          </w:pPr>
        </w:p>
      </w:tc>
    </w:tr>
  </w:tbl>
  <w:p w14:paraId="242E5F54" w14:textId="77777777" w:rsidR="00182C38" w:rsidRPr="00FB5DAF" w:rsidRDefault="00182C38" w:rsidP="00FE74A7">
    <w:pPr>
      <w:pStyle w:val="Header"/>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3928" w:type="pct"/>
      <w:tblInd w:w="-875"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125"/>
    </w:tblGrid>
    <w:tr w:rsidR="00CC78B4" w:rsidRPr="00AB732C" w14:paraId="5C8DA5AB" w14:textId="77777777" w:rsidTr="00CC78B4">
      <w:trPr>
        <w:trHeight w:val="169"/>
      </w:trPr>
      <w:tc>
        <w:tcPr>
          <w:tcW w:w="11001" w:type="dxa"/>
        </w:tcPr>
        <w:p w14:paraId="58F57B72" w14:textId="77777777" w:rsidR="00CC78B4" w:rsidRPr="00AB732C" w:rsidRDefault="00CC78B4" w:rsidP="00CC78B4">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4119887B" w14:textId="77777777" w:rsidR="00CC78B4" w:rsidRPr="00FB5DAF" w:rsidRDefault="00CC78B4" w:rsidP="00CC78B4">
    <w:pPr>
      <w:pStyle w:val="Header"/>
      <w:pBdr>
        <w:bottom w:val="none" w:sz="0" w:space="0" w:color="auto"/>
      </w:pBdr>
      <w:jc w:val="left"/>
    </w:pPr>
  </w:p>
  <w:p w14:paraId="3B62DA87" w14:textId="52A55861" w:rsidR="008570C6" w:rsidRPr="00CC78B4" w:rsidRDefault="008570C6" w:rsidP="00CC78B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EB"/>
    <w:multiLevelType w:val="hybridMultilevel"/>
    <w:tmpl w:val="866EC7A8"/>
    <w:lvl w:ilvl="0" w:tplc="B83ED3E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50658"/>
    <w:multiLevelType w:val="hybridMultilevel"/>
    <w:tmpl w:val="49603B26"/>
    <w:lvl w:ilvl="0" w:tplc="A43AADC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 w15:restartNumberingAfterBreak="0">
    <w:nsid w:val="47B77749"/>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 w15:restartNumberingAfterBreak="0">
    <w:nsid w:val="4BE85635"/>
    <w:multiLevelType w:val="hybridMultilevel"/>
    <w:tmpl w:val="100862A0"/>
    <w:lvl w:ilvl="0" w:tplc="8CFE89E2">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 w15:restartNumberingAfterBreak="0">
    <w:nsid w:val="4BF82B94"/>
    <w:multiLevelType w:val="hybridMultilevel"/>
    <w:tmpl w:val="5900EC9A"/>
    <w:lvl w:ilvl="0" w:tplc="D6B6BF0A">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 w15:restartNumberingAfterBreak="0">
    <w:nsid w:val="5D10683C"/>
    <w:multiLevelType w:val="hybridMultilevel"/>
    <w:tmpl w:val="DA6259AC"/>
    <w:lvl w:ilvl="0" w:tplc="4434CEFA">
      <w:start w:val="1"/>
      <w:numFmt w:val="decimal"/>
      <w:lvlText w:val="%1."/>
      <w:lvlJc w:val="left"/>
      <w:pPr>
        <w:ind w:left="846" w:hanging="42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16cid:durableId="1913540861">
    <w:abstractNumId w:val="2"/>
  </w:num>
  <w:num w:numId="2" w16cid:durableId="424034122">
    <w:abstractNumId w:val="0"/>
  </w:num>
  <w:num w:numId="3" w16cid:durableId="1601713901">
    <w:abstractNumId w:val="5"/>
  </w:num>
  <w:num w:numId="4" w16cid:durableId="1452477633">
    <w:abstractNumId w:val="4"/>
  </w:num>
  <w:num w:numId="5" w16cid:durableId="1887333338">
    <w:abstractNumId w:val="1"/>
  </w:num>
  <w:num w:numId="6" w16cid:durableId="7163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48"/>
    <w:rsid w:val="00000CD9"/>
    <w:rsid w:val="0000127A"/>
    <w:rsid w:val="0000350A"/>
    <w:rsid w:val="00003D8B"/>
    <w:rsid w:val="00003F30"/>
    <w:rsid w:val="00007B1D"/>
    <w:rsid w:val="00011920"/>
    <w:rsid w:val="00013E34"/>
    <w:rsid w:val="00014604"/>
    <w:rsid w:val="00023B36"/>
    <w:rsid w:val="00030003"/>
    <w:rsid w:val="000332EB"/>
    <w:rsid w:val="00035344"/>
    <w:rsid w:val="0004108F"/>
    <w:rsid w:val="00044846"/>
    <w:rsid w:val="00045F47"/>
    <w:rsid w:val="00046256"/>
    <w:rsid w:val="00047380"/>
    <w:rsid w:val="00047849"/>
    <w:rsid w:val="0005125B"/>
    <w:rsid w:val="00052F50"/>
    <w:rsid w:val="0005437B"/>
    <w:rsid w:val="0005472A"/>
    <w:rsid w:val="000609FC"/>
    <w:rsid w:val="000610C3"/>
    <w:rsid w:val="0006261D"/>
    <w:rsid w:val="000647FA"/>
    <w:rsid w:val="000654A0"/>
    <w:rsid w:val="00067DE9"/>
    <w:rsid w:val="00070BBE"/>
    <w:rsid w:val="00072EFE"/>
    <w:rsid w:val="00076A5A"/>
    <w:rsid w:val="00081483"/>
    <w:rsid w:val="00081CF9"/>
    <w:rsid w:val="00085A2C"/>
    <w:rsid w:val="00091E2E"/>
    <w:rsid w:val="000973B4"/>
    <w:rsid w:val="0009752A"/>
    <w:rsid w:val="000A16E9"/>
    <w:rsid w:val="000A4029"/>
    <w:rsid w:val="000B07A7"/>
    <w:rsid w:val="000B1570"/>
    <w:rsid w:val="000B60FE"/>
    <w:rsid w:val="000C2DB8"/>
    <w:rsid w:val="000C526E"/>
    <w:rsid w:val="000D0042"/>
    <w:rsid w:val="000D1A95"/>
    <w:rsid w:val="000D33E5"/>
    <w:rsid w:val="000D3575"/>
    <w:rsid w:val="000D56BD"/>
    <w:rsid w:val="000D721A"/>
    <w:rsid w:val="000D7C9F"/>
    <w:rsid w:val="000D7DBE"/>
    <w:rsid w:val="000E0A0D"/>
    <w:rsid w:val="000E7044"/>
    <w:rsid w:val="000F04EB"/>
    <w:rsid w:val="000F6D3A"/>
    <w:rsid w:val="00103104"/>
    <w:rsid w:val="00105480"/>
    <w:rsid w:val="001071A1"/>
    <w:rsid w:val="0011109E"/>
    <w:rsid w:val="00112696"/>
    <w:rsid w:val="0011769B"/>
    <w:rsid w:val="00121254"/>
    <w:rsid w:val="001369FC"/>
    <w:rsid w:val="00137C10"/>
    <w:rsid w:val="00141458"/>
    <w:rsid w:val="00143302"/>
    <w:rsid w:val="001452AF"/>
    <w:rsid w:val="0015076F"/>
    <w:rsid w:val="00150928"/>
    <w:rsid w:val="001537D9"/>
    <w:rsid w:val="00155116"/>
    <w:rsid w:val="00155F29"/>
    <w:rsid w:val="00165084"/>
    <w:rsid w:val="00165379"/>
    <w:rsid w:val="0016770C"/>
    <w:rsid w:val="00172719"/>
    <w:rsid w:val="00172E86"/>
    <w:rsid w:val="00177FB0"/>
    <w:rsid w:val="00182024"/>
    <w:rsid w:val="00182C38"/>
    <w:rsid w:val="00182ECB"/>
    <w:rsid w:val="00182ED0"/>
    <w:rsid w:val="001833ED"/>
    <w:rsid w:val="00184E62"/>
    <w:rsid w:val="00184FA3"/>
    <w:rsid w:val="00185716"/>
    <w:rsid w:val="00185F7E"/>
    <w:rsid w:val="00186CB2"/>
    <w:rsid w:val="0018727F"/>
    <w:rsid w:val="0018784E"/>
    <w:rsid w:val="00190DAB"/>
    <w:rsid w:val="001911B4"/>
    <w:rsid w:val="0019343F"/>
    <w:rsid w:val="001A03FB"/>
    <w:rsid w:val="001A52BD"/>
    <w:rsid w:val="001A6A97"/>
    <w:rsid w:val="001A7C95"/>
    <w:rsid w:val="001B0F4D"/>
    <w:rsid w:val="001B13C0"/>
    <w:rsid w:val="001B47CF"/>
    <w:rsid w:val="001B6C7D"/>
    <w:rsid w:val="001C3E31"/>
    <w:rsid w:val="001C4C1D"/>
    <w:rsid w:val="001C6111"/>
    <w:rsid w:val="001C7837"/>
    <w:rsid w:val="001D11E9"/>
    <w:rsid w:val="001D6ADC"/>
    <w:rsid w:val="001E1F41"/>
    <w:rsid w:val="001E2D1F"/>
    <w:rsid w:val="001E3C06"/>
    <w:rsid w:val="001E75B6"/>
    <w:rsid w:val="00207DB5"/>
    <w:rsid w:val="00210108"/>
    <w:rsid w:val="00217849"/>
    <w:rsid w:val="00221465"/>
    <w:rsid w:val="00224E9E"/>
    <w:rsid w:val="00227186"/>
    <w:rsid w:val="00233684"/>
    <w:rsid w:val="0023389F"/>
    <w:rsid w:val="002361F4"/>
    <w:rsid w:val="00236692"/>
    <w:rsid w:val="00237BD0"/>
    <w:rsid w:val="00250D83"/>
    <w:rsid w:val="00251B4C"/>
    <w:rsid w:val="00252610"/>
    <w:rsid w:val="00256666"/>
    <w:rsid w:val="00260D79"/>
    <w:rsid w:val="00261901"/>
    <w:rsid w:val="00263E56"/>
    <w:rsid w:val="0027179C"/>
    <w:rsid w:val="00275202"/>
    <w:rsid w:val="002768D8"/>
    <w:rsid w:val="002772A8"/>
    <w:rsid w:val="002857F8"/>
    <w:rsid w:val="002861FF"/>
    <w:rsid w:val="00290B1D"/>
    <w:rsid w:val="002955EB"/>
    <w:rsid w:val="00296D19"/>
    <w:rsid w:val="00296DF4"/>
    <w:rsid w:val="00296E49"/>
    <w:rsid w:val="002A0284"/>
    <w:rsid w:val="002A1F4A"/>
    <w:rsid w:val="002A2970"/>
    <w:rsid w:val="002A34FD"/>
    <w:rsid w:val="002A41B6"/>
    <w:rsid w:val="002B00DF"/>
    <w:rsid w:val="002B01D1"/>
    <w:rsid w:val="002B08E9"/>
    <w:rsid w:val="002B107B"/>
    <w:rsid w:val="002B1171"/>
    <w:rsid w:val="002B37A5"/>
    <w:rsid w:val="002C3723"/>
    <w:rsid w:val="002C4291"/>
    <w:rsid w:val="002D3B6D"/>
    <w:rsid w:val="002E5AF2"/>
    <w:rsid w:val="002F2278"/>
    <w:rsid w:val="00301800"/>
    <w:rsid w:val="00302F56"/>
    <w:rsid w:val="00306CFE"/>
    <w:rsid w:val="00312D99"/>
    <w:rsid w:val="00316B68"/>
    <w:rsid w:val="00317993"/>
    <w:rsid w:val="00322FF3"/>
    <w:rsid w:val="003237BE"/>
    <w:rsid w:val="00326BB8"/>
    <w:rsid w:val="00330943"/>
    <w:rsid w:val="0033318B"/>
    <w:rsid w:val="00335FBE"/>
    <w:rsid w:val="003370EA"/>
    <w:rsid w:val="00341A0B"/>
    <w:rsid w:val="00347327"/>
    <w:rsid w:val="00352DAA"/>
    <w:rsid w:val="003548AC"/>
    <w:rsid w:val="00356BD7"/>
    <w:rsid w:val="00357334"/>
    <w:rsid w:val="003602BF"/>
    <w:rsid w:val="00361837"/>
    <w:rsid w:val="00362C9A"/>
    <w:rsid w:val="00363C7A"/>
    <w:rsid w:val="00364981"/>
    <w:rsid w:val="003738E3"/>
    <w:rsid w:val="00373F6B"/>
    <w:rsid w:val="003746BF"/>
    <w:rsid w:val="00374D89"/>
    <w:rsid w:val="00376057"/>
    <w:rsid w:val="00376C56"/>
    <w:rsid w:val="00380498"/>
    <w:rsid w:val="00381FD1"/>
    <w:rsid w:val="003824C0"/>
    <w:rsid w:val="00385028"/>
    <w:rsid w:val="00386258"/>
    <w:rsid w:val="003870D9"/>
    <w:rsid w:val="0039223E"/>
    <w:rsid w:val="00393CF8"/>
    <w:rsid w:val="00394BAF"/>
    <w:rsid w:val="00394C26"/>
    <w:rsid w:val="003A4E99"/>
    <w:rsid w:val="003A56AE"/>
    <w:rsid w:val="003A616B"/>
    <w:rsid w:val="003A7E17"/>
    <w:rsid w:val="003B2215"/>
    <w:rsid w:val="003B2649"/>
    <w:rsid w:val="003B2AD2"/>
    <w:rsid w:val="003D12A9"/>
    <w:rsid w:val="003D1762"/>
    <w:rsid w:val="003D181F"/>
    <w:rsid w:val="003D2AF5"/>
    <w:rsid w:val="003E2776"/>
    <w:rsid w:val="003E5EE5"/>
    <w:rsid w:val="003E65BE"/>
    <w:rsid w:val="003F02E5"/>
    <w:rsid w:val="00405AA2"/>
    <w:rsid w:val="004139D2"/>
    <w:rsid w:val="004142AC"/>
    <w:rsid w:val="0042021C"/>
    <w:rsid w:val="004209A8"/>
    <w:rsid w:val="0042133F"/>
    <w:rsid w:val="004234D7"/>
    <w:rsid w:val="00423BA0"/>
    <w:rsid w:val="00424DDE"/>
    <w:rsid w:val="0042652F"/>
    <w:rsid w:val="00434EC0"/>
    <w:rsid w:val="00437CE1"/>
    <w:rsid w:val="00445F2D"/>
    <w:rsid w:val="004515A1"/>
    <w:rsid w:val="004607A0"/>
    <w:rsid w:val="004621A3"/>
    <w:rsid w:val="0046296E"/>
    <w:rsid w:val="004636ED"/>
    <w:rsid w:val="00467C80"/>
    <w:rsid w:val="00474435"/>
    <w:rsid w:val="00476C4F"/>
    <w:rsid w:val="0048710B"/>
    <w:rsid w:val="00490B18"/>
    <w:rsid w:val="00491263"/>
    <w:rsid w:val="00493F0B"/>
    <w:rsid w:val="004953C3"/>
    <w:rsid w:val="00496111"/>
    <w:rsid w:val="004A0F79"/>
    <w:rsid w:val="004A224B"/>
    <w:rsid w:val="004A3AE5"/>
    <w:rsid w:val="004B0BCF"/>
    <w:rsid w:val="004B16CA"/>
    <w:rsid w:val="004B2039"/>
    <w:rsid w:val="004B577C"/>
    <w:rsid w:val="004C21AF"/>
    <w:rsid w:val="004C4848"/>
    <w:rsid w:val="004C5C03"/>
    <w:rsid w:val="004C5D3F"/>
    <w:rsid w:val="004D1B99"/>
    <w:rsid w:val="004D1D06"/>
    <w:rsid w:val="004D2D7C"/>
    <w:rsid w:val="004D4538"/>
    <w:rsid w:val="004D49DF"/>
    <w:rsid w:val="004D7CA3"/>
    <w:rsid w:val="004D7DC7"/>
    <w:rsid w:val="004E1EF2"/>
    <w:rsid w:val="004E37B0"/>
    <w:rsid w:val="004E39B5"/>
    <w:rsid w:val="004F08CD"/>
    <w:rsid w:val="004F2826"/>
    <w:rsid w:val="004F29A9"/>
    <w:rsid w:val="004F37EC"/>
    <w:rsid w:val="004F3F97"/>
    <w:rsid w:val="004F53CC"/>
    <w:rsid w:val="004F72A0"/>
    <w:rsid w:val="004F78C7"/>
    <w:rsid w:val="00503313"/>
    <w:rsid w:val="00506F21"/>
    <w:rsid w:val="00513EB0"/>
    <w:rsid w:val="00515335"/>
    <w:rsid w:val="00525865"/>
    <w:rsid w:val="00526A74"/>
    <w:rsid w:val="0052780F"/>
    <w:rsid w:val="00531BB8"/>
    <w:rsid w:val="00532D22"/>
    <w:rsid w:val="00533B8E"/>
    <w:rsid w:val="00533EAE"/>
    <w:rsid w:val="005340DB"/>
    <w:rsid w:val="005374C6"/>
    <w:rsid w:val="00544606"/>
    <w:rsid w:val="00551459"/>
    <w:rsid w:val="00554C0F"/>
    <w:rsid w:val="00557170"/>
    <w:rsid w:val="005572B3"/>
    <w:rsid w:val="00560B94"/>
    <w:rsid w:val="00560C16"/>
    <w:rsid w:val="005615CB"/>
    <w:rsid w:val="0056489D"/>
    <w:rsid w:val="00582EF0"/>
    <w:rsid w:val="00584533"/>
    <w:rsid w:val="005866A7"/>
    <w:rsid w:val="00590C34"/>
    <w:rsid w:val="00593BE7"/>
    <w:rsid w:val="00593F68"/>
    <w:rsid w:val="005A230C"/>
    <w:rsid w:val="005A73C6"/>
    <w:rsid w:val="005A7BF5"/>
    <w:rsid w:val="005B2CB6"/>
    <w:rsid w:val="005B534A"/>
    <w:rsid w:val="005C1870"/>
    <w:rsid w:val="005C35B0"/>
    <w:rsid w:val="005C6D99"/>
    <w:rsid w:val="005D1D82"/>
    <w:rsid w:val="005E0DCE"/>
    <w:rsid w:val="005E345C"/>
    <w:rsid w:val="005E5E0F"/>
    <w:rsid w:val="005F4F14"/>
    <w:rsid w:val="005F6981"/>
    <w:rsid w:val="006000F6"/>
    <w:rsid w:val="00600DE3"/>
    <w:rsid w:val="00601086"/>
    <w:rsid w:val="006019D8"/>
    <w:rsid w:val="00601D99"/>
    <w:rsid w:val="00604FAB"/>
    <w:rsid w:val="0060604E"/>
    <w:rsid w:val="00606439"/>
    <w:rsid w:val="00606A67"/>
    <w:rsid w:val="00607965"/>
    <w:rsid w:val="00610EC2"/>
    <w:rsid w:val="00612998"/>
    <w:rsid w:val="00615089"/>
    <w:rsid w:val="00616DE0"/>
    <w:rsid w:val="00617D77"/>
    <w:rsid w:val="00621411"/>
    <w:rsid w:val="00623972"/>
    <w:rsid w:val="00623DB3"/>
    <w:rsid w:val="0062587A"/>
    <w:rsid w:val="00625952"/>
    <w:rsid w:val="00630988"/>
    <w:rsid w:val="006328D8"/>
    <w:rsid w:val="006428E5"/>
    <w:rsid w:val="006469A5"/>
    <w:rsid w:val="006513B7"/>
    <w:rsid w:val="00652217"/>
    <w:rsid w:val="00655B4A"/>
    <w:rsid w:val="00656A17"/>
    <w:rsid w:val="00666402"/>
    <w:rsid w:val="0066752A"/>
    <w:rsid w:val="00667EEC"/>
    <w:rsid w:val="006767B2"/>
    <w:rsid w:val="00680D9E"/>
    <w:rsid w:val="00681715"/>
    <w:rsid w:val="006847D1"/>
    <w:rsid w:val="0068495E"/>
    <w:rsid w:val="00687B7B"/>
    <w:rsid w:val="00691D5F"/>
    <w:rsid w:val="00694BAA"/>
    <w:rsid w:val="006974D1"/>
    <w:rsid w:val="006A328A"/>
    <w:rsid w:val="006A386D"/>
    <w:rsid w:val="006A6C66"/>
    <w:rsid w:val="006B2336"/>
    <w:rsid w:val="006B2A50"/>
    <w:rsid w:val="006B580D"/>
    <w:rsid w:val="006B5C98"/>
    <w:rsid w:val="006B66B2"/>
    <w:rsid w:val="006B6B71"/>
    <w:rsid w:val="006B79BE"/>
    <w:rsid w:val="006C3FAA"/>
    <w:rsid w:val="006D063C"/>
    <w:rsid w:val="006D08EA"/>
    <w:rsid w:val="006D427B"/>
    <w:rsid w:val="006E18C4"/>
    <w:rsid w:val="006E2B61"/>
    <w:rsid w:val="006E3536"/>
    <w:rsid w:val="006F28EC"/>
    <w:rsid w:val="006F33AB"/>
    <w:rsid w:val="006F3A6C"/>
    <w:rsid w:val="006F50EA"/>
    <w:rsid w:val="006F5C5B"/>
    <w:rsid w:val="006F5DBE"/>
    <w:rsid w:val="006F6A2D"/>
    <w:rsid w:val="0070314D"/>
    <w:rsid w:val="007049CB"/>
    <w:rsid w:val="00706A5C"/>
    <w:rsid w:val="00707CFE"/>
    <w:rsid w:val="007128C9"/>
    <w:rsid w:val="0072127C"/>
    <w:rsid w:val="00723837"/>
    <w:rsid w:val="007245F3"/>
    <w:rsid w:val="00724D55"/>
    <w:rsid w:val="00725D5E"/>
    <w:rsid w:val="0073247B"/>
    <w:rsid w:val="0073318D"/>
    <w:rsid w:val="00733918"/>
    <w:rsid w:val="007366A7"/>
    <w:rsid w:val="007425EF"/>
    <w:rsid w:val="00742969"/>
    <w:rsid w:val="007469F0"/>
    <w:rsid w:val="00746AFC"/>
    <w:rsid w:val="00755B2B"/>
    <w:rsid w:val="00756DDC"/>
    <w:rsid w:val="00760341"/>
    <w:rsid w:val="00760B62"/>
    <w:rsid w:val="007646B6"/>
    <w:rsid w:val="007646D2"/>
    <w:rsid w:val="00765166"/>
    <w:rsid w:val="00772B39"/>
    <w:rsid w:val="007735AB"/>
    <w:rsid w:val="00781AAC"/>
    <w:rsid w:val="00786F25"/>
    <w:rsid w:val="00791E30"/>
    <w:rsid w:val="00792DA4"/>
    <w:rsid w:val="007938F1"/>
    <w:rsid w:val="0079476A"/>
    <w:rsid w:val="0079523C"/>
    <w:rsid w:val="0079551C"/>
    <w:rsid w:val="007957D3"/>
    <w:rsid w:val="00795FB1"/>
    <w:rsid w:val="007A5FC6"/>
    <w:rsid w:val="007B2511"/>
    <w:rsid w:val="007B3F9D"/>
    <w:rsid w:val="007B53FB"/>
    <w:rsid w:val="007C0374"/>
    <w:rsid w:val="007C24D7"/>
    <w:rsid w:val="007C546D"/>
    <w:rsid w:val="007C56C8"/>
    <w:rsid w:val="007C59C5"/>
    <w:rsid w:val="007C728C"/>
    <w:rsid w:val="007D2F99"/>
    <w:rsid w:val="007D6CD7"/>
    <w:rsid w:val="007E51ED"/>
    <w:rsid w:val="007F123C"/>
    <w:rsid w:val="007F1C77"/>
    <w:rsid w:val="007F1CC6"/>
    <w:rsid w:val="007F440C"/>
    <w:rsid w:val="007F76E0"/>
    <w:rsid w:val="00800245"/>
    <w:rsid w:val="00804B54"/>
    <w:rsid w:val="00806C37"/>
    <w:rsid w:val="0081504B"/>
    <w:rsid w:val="0081545C"/>
    <w:rsid w:val="00816B34"/>
    <w:rsid w:val="00817AAE"/>
    <w:rsid w:val="0082093C"/>
    <w:rsid w:val="0082302B"/>
    <w:rsid w:val="00827EF9"/>
    <w:rsid w:val="00832C27"/>
    <w:rsid w:val="008344C8"/>
    <w:rsid w:val="00842D05"/>
    <w:rsid w:val="0084718C"/>
    <w:rsid w:val="00853B9B"/>
    <w:rsid w:val="00853F9B"/>
    <w:rsid w:val="008562DB"/>
    <w:rsid w:val="008570C6"/>
    <w:rsid w:val="00857FD4"/>
    <w:rsid w:val="00860DC7"/>
    <w:rsid w:val="00863BD8"/>
    <w:rsid w:val="00864223"/>
    <w:rsid w:val="00864AFB"/>
    <w:rsid w:val="00871B8D"/>
    <w:rsid w:val="00871BC1"/>
    <w:rsid w:val="00872190"/>
    <w:rsid w:val="00877369"/>
    <w:rsid w:val="00881731"/>
    <w:rsid w:val="00882F37"/>
    <w:rsid w:val="00882FB2"/>
    <w:rsid w:val="00887A78"/>
    <w:rsid w:val="00890FB8"/>
    <w:rsid w:val="0089430F"/>
    <w:rsid w:val="008946AB"/>
    <w:rsid w:val="008968D9"/>
    <w:rsid w:val="008A1340"/>
    <w:rsid w:val="008A2162"/>
    <w:rsid w:val="008A220F"/>
    <w:rsid w:val="008A6F1C"/>
    <w:rsid w:val="008A6F9F"/>
    <w:rsid w:val="008B21A1"/>
    <w:rsid w:val="008B3E37"/>
    <w:rsid w:val="008B3F5C"/>
    <w:rsid w:val="008C0188"/>
    <w:rsid w:val="008C04A1"/>
    <w:rsid w:val="008C5316"/>
    <w:rsid w:val="008D772A"/>
    <w:rsid w:val="008E3630"/>
    <w:rsid w:val="008F0DCC"/>
    <w:rsid w:val="008F22F4"/>
    <w:rsid w:val="00901C94"/>
    <w:rsid w:val="00902C8E"/>
    <w:rsid w:val="009030A4"/>
    <w:rsid w:val="00903243"/>
    <w:rsid w:val="00904C0C"/>
    <w:rsid w:val="0091201B"/>
    <w:rsid w:val="009136D1"/>
    <w:rsid w:val="00916971"/>
    <w:rsid w:val="00916BD1"/>
    <w:rsid w:val="00917567"/>
    <w:rsid w:val="00923B12"/>
    <w:rsid w:val="00930A49"/>
    <w:rsid w:val="00930A86"/>
    <w:rsid w:val="00931AA5"/>
    <w:rsid w:val="0093268F"/>
    <w:rsid w:val="00934B71"/>
    <w:rsid w:val="00934F9C"/>
    <w:rsid w:val="0094633F"/>
    <w:rsid w:val="00946A59"/>
    <w:rsid w:val="00951E16"/>
    <w:rsid w:val="00954F8D"/>
    <w:rsid w:val="00955FEB"/>
    <w:rsid w:val="00961FD1"/>
    <w:rsid w:val="00966BE8"/>
    <w:rsid w:val="00980237"/>
    <w:rsid w:val="00984CCA"/>
    <w:rsid w:val="009861F0"/>
    <w:rsid w:val="0098716A"/>
    <w:rsid w:val="00990773"/>
    <w:rsid w:val="009916F2"/>
    <w:rsid w:val="009A1769"/>
    <w:rsid w:val="009A1E24"/>
    <w:rsid w:val="009A34D5"/>
    <w:rsid w:val="009A4883"/>
    <w:rsid w:val="009A549D"/>
    <w:rsid w:val="009A6DE9"/>
    <w:rsid w:val="009B1625"/>
    <w:rsid w:val="009B7DBC"/>
    <w:rsid w:val="009C14DA"/>
    <w:rsid w:val="009C2337"/>
    <w:rsid w:val="009C5845"/>
    <w:rsid w:val="009C5AF1"/>
    <w:rsid w:val="009D0FB0"/>
    <w:rsid w:val="009D28D8"/>
    <w:rsid w:val="009D6B21"/>
    <w:rsid w:val="009E293C"/>
    <w:rsid w:val="00A0039B"/>
    <w:rsid w:val="00A02FDF"/>
    <w:rsid w:val="00A11318"/>
    <w:rsid w:val="00A1301B"/>
    <w:rsid w:val="00A13964"/>
    <w:rsid w:val="00A15CED"/>
    <w:rsid w:val="00A21D22"/>
    <w:rsid w:val="00A25728"/>
    <w:rsid w:val="00A25B3F"/>
    <w:rsid w:val="00A262F5"/>
    <w:rsid w:val="00A31717"/>
    <w:rsid w:val="00A33045"/>
    <w:rsid w:val="00A41BA5"/>
    <w:rsid w:val="00A45489"/>
    <w:rsid w:val="00A45D6D"/>
    <w:rsid w:val="00A467F7"/>
    <w:rsid w:val="00A46DB4"/>
    <w:rsid w:val="00A47E91"/>
    <w:rsid w:val="00A541AD"/>
    <w:rsid w:val="00A5520A"/>
    <w:rsid w:val="00A606F4"/>
    <w:rsid w:val="00A60C5D"/>
    <w:rsid w:val="00A6247E"/>
    <w:rsid w:val="00A62CDC"/>
    <w:rsid w:val="00A66A1E"/>
    <w:rsid w:val="00A730EB"/>
    <w:rsid w:val="00A81634"/>
    <w:rsid w:val="00A847E7"/>
    <w:rsid w:val="00A8513A"/>
    <w:rsid w:val="00A8598C"/>
    <w:rsid w:val="00A87822"/>
    <w:rsid w:val="00A87ADC"/>
    <w:rsid w:val="00A922F8"/>
    <w:rsid w:val="00A973C5"/>
    <w:rsid w:val="00A97621"/>
    <w:rsid w:val="00AA1252"/>
    <w:rsid w:val="00AA2011"/>
    <w:rsid w:val="00AA2979"/>
    <w:rsid w:val="00AA4586"/>
    <w:rsid w:val="00AA45C8"/>
    <w:rsid w:val="00AA568B"/>
    <w:rsid w:val="00AB05F1"/>
    <w:rsid w:val="00AB2871"/>
    <w:rsid w:val="00AB558B"/>
    <w:rsid w:val="00AB73F3"/>
    <w:rsid w:val="00AC54E3"/>
    <w:rsid w:val="00AD07BB"/>
    <w:rsid w:val="00AD27B2"/>
    <w:rsid w:val="00AD41DE"/>
    <w:rsid w:val="00AD44E8"/>
    <w:rsid w:val="00AE0119"/>
    <w:rsid w:val="00AE035B"/>
    <w:rsid w:val="00AE1914"/>
    <w:rsid w:val="00AE581A"/>
    <w:rsid w:val="00AE5ADA"/>
    <w:rsid w:val="00AE6E7B"/>
    <w:rsid w:val="00AF0828"/>
    <w:rsid w:val="00AF4444"/>
    <w:rsid w:val="00B01F5F"/>
    <w:rsid w:val="00B100C5"/>
    <w:rsid w:val="00B145B0"/>
    <w:rsid w:val="00B14CB4"/>
    <w:rsid w:val="00B20824"/>
    <w:rsid w:val="00B27185"/>
    <w:rsid w:val="00B36106"/>
    <w:rsid w:val="00B40AF0"/>
    <w:rsid w:val="00B51476"/>
    <w:rsid w:val="00B5168B"/>
    <w:rsid w:val="00B6286B"/>
    <w:rsid w:val="00B630D9"/>
    <w:rsid w:val="00B650B5"/>
    <w:rsid w:val="00B7063A"/>
    <w:rsid w:val="00B744DA"/>
    <w:rsid w:val="00B74FFE"/>
    <w:rsid w:val="00B7648D"/>
    <w:rsid w:val="00B769C3"/>
    <w:rsid w:val="00B82C92"/>
    <w:rsid w:val="00B854E8"/>
    <w:rsid w:val="00B8704C"/>
    <w:rsid w:val="00B92F29"/>
    <w:rsid w:val="00B944E7"/>
    <w:rsid w:val="00B95946"/>
    <w:rsid w:val="00BA7186"/>
    <w:rsid w:val="00BB063F"/>
    <w:rsid w:val="00BB0B56"/>
    <w:rsid w:val="00BC2988"/>
    <w:rsid w:val="00BC2BF2"/>
    <w:rsid w:val="00BC3D40"/>
    <w:rsid w:val="00BC4790"/>
    <w:rsid w:val="00BC4CC2"/>
    <w:rsid w:val="00BC6084"/>
    <w:rsid w:val="00BD13CC"/>
    <w:rsid w:val="00BD330B"/>
    <w:rsid w:val="00BD4020"/>
    <w:rsid w:val="00BD7132"/>
    <w:rsid w:val="00BD7A28"/>
    <w:rsid w:val="00BE2986"/>
    <w:rsid w:val="00BE342F"/>
    <w:rsid w:val="00BE4146"/>
    <w:rsid w:val="00BE7FF5"/>
    <w:rsid w:val="00C01B34"/>
    <w:rsid w:val="00C02F59"/>
    <w:rsid w:val="00C040C8"/>
    <w:rsid w:val="00C04FFB"/>
    <w:rsid w:val="00C12C63"/>
    <w:rsid w:val="00C15906"/>
    <w:rsid w:val="00C173AF"/>
    <w:rsid w:val="00C21331"/>
    <w:rsid w:val="00C21DA5"/>
    <w:rsid w:val="00C3245F"/>
    <w:rsid w:val="00C34824"/>
    <w:rsid w:val="00C40413"/>
    <w:rsid w:val="00C41F65"/>
    <w:rsid w:val="00C43DD6"/>
    <w:rsid w:val="00C458D5"/>
    <w:rsid w:val="00C516D7"/>
    <w:rsid w:val="00C51B66"/>
    <w:rsid w:val="00C52E84"/>
    <w:rsid w:val="00C546D1"/>
    <w:rsid w:val="00C6389F"/>
    <w:rsid w:val="00C700C1"/>
    <w:rsid w:val="00C708DD"/>
    <w:rsid w:val="00C73B1F"/>
    <w:rsid w:val="00C7413C"/>
    <w:rsid w:val="00C741DA"/>
    <w:rsid w:val="00C775E5"/>
    <w:rsid w:val="00C81021"/>
    <w:rsid w:val="00C839B5"/>
    <w:rsid w:val="00C83A77"/>
    <w:rsid w:val="00C87722"/>
    <w:rsid w:val="00C91A44"/>
    <w:rsid w:val="00C91B83"/>
    <w:rsid w:val="00C95758"/>
    <w:rsid w:val="00C9588E"/>
    <w:rsid w:val="00CA05F8"/>
    <w:rsid w:val="00CA1B49"/>
    <w:rsid w:val="00CA29BE"/>
    <w:rsid w:val="00CA2B00"/>
    <w:rsid w:val="00CB05E3"/>
    <w:rsid w:val="00CB3165"/>
    <w:rsid w:val="00CB5E0B"/>
    <w:rsid w:val="00CB75AE"/>
    <w:rsid w:val="00CC0748"/>
    <w:rsid w:val="00CC2325"/>
    <w:rsid w:val="00CC3C5C"/>
    <w:rsid w:val="00CC55D7"/>
    <w:rsid w:val="00CC5E52"/>
    <w:rsid w:val="00CC7103"/>
    <w:rsid w:val="00CC78B4"/>
    <w:rsid w:val="00CD414D"/>
    <w:rsid w:val="00CD4439"/>
    <w:rsid w:val="00CD6EEC"/>
    <w:rsid w:val="00CD70F9"/>
    <w:rsid w:val="00CE2AD7"/>
    <w:rsid w:val="00CE69B1"/>
    <w:rsid w:val="00CF0AED"/>
    <w:rsid w:val="00CF2A8A"/>
    <w:rsid w:val="00CF2F37"/>
    <w:rsid w:val="00CF565E"/>
    <w:rsid w:val="00CF6D15"/>
    <w:rsid w:val="00D0093B"/>
    <w:rsid w:val="00D0359F"/>
    <w:rsid w:val="00D06B65"/>
    <w:rsid w:val="00D07AED"/>
    <w:rsid w:val="00D1015E"/>
    <w:rsid w:val="00D16798"/>
    <w:rsid w:val="00D17C60"/>
    <w:rsid w:val="00D210BD"/>
    <w:rsid w:val="00D229AD"/>
    <w:rsid w:val="00D22F88"/>
    <w:rsid w:val="00D255FC"/>
    <w:rsid w:val="00D40A54"/>
    <w:rsid w:val="00D41500"/>
    <w:rsid w:val="00D420F1"/>
    <w:rsid w:val="00D42524"/>
    <w:rsid w:val="00D43E8A"/>
    <w:rsid w:val="00D4413B"/>
    <w:rsid w:val="00D61887"/>
    <w:rsid w:val="00D627C1"/>
    <w:rsid w:val="00D62958"/>
    <w:rsid w:val="00D711D5"/>
    <w:rsid w:val="00D729FB"/>
    <w:rsid w:val="00D733F2"/>
    <w:rsid w:val="00D73E7D"/>
    <w:rsid w:val="00D75E00"/>
    <w:rsid w:val="00D773B0"/>
    <w:rsid w:val="00D77923"/>
    <w:rsid w:val="00D876E5"/>
    <w:rsid w:val="00D91BDB"/>
    <w:rsid w:val="00D92188"/>
    <w:rsid w:val="00D94B16"/>
    <w:rsid w:val="00D95B42"/>
    <w:rsid w:val="00DA0062"/>
    <w:rsid w:val="00DA21C1"/>
    <w:rsid w:val="00DA59F8"/>
    <w:rsid w:val="00DA78EB"/>
    <w:rsid w:val="00DB3D92"/>
    <w:rsid w:val="00DB4474"/>
    <w:rsid w:val="00DB570C"/>
    <w:rsid w:val="00DB654F"/>
    <w:rsid w:val="00DB72BF"/>
    <w:rsid w:val="00DB7D5D"/>
    <w:rsid w:val="00DC051A"/>
    <w:rsid w:val="00DC31A1"/>
    <w:rsid w:val="00DC4588"/>
    <w:rsid w:val="00DC7DB6"/>
    <w:rsid w:val="00DD1418"/>
    <w:rsid w:val="00DD1C41"/>
    <w:rsid w:val="00DD209F"/>
    <w:rsid w:val="00DD23DD"/>
    <w:rsid w:val="00DE7936"/>
    <w:rsid w:val="00DF2102"/>
    <w:rsid w:val="00DF601D"/>
    <w:rsid w:val="00E02954"/>
    <w:rsid w:val="00E029C1"/>
    <w:rsid w:val="00E051CB"/>
    <w:rsid w:val="00E103CB"/>
    <w:rsid w:val="00E1149F"/>
    <w:rsid w:val="00E1152A"/>
    <w:rsid w:val="00E11B6B"/>
    <w:rsid w:val="00E11F55"/>
    <w:rsid w:val="00E223DD"/>
    <w:rsid w:val="00E22EBA"/>
    <w:rsid w:val="00E30AC4"/>
    <w:rsid w:val="00E3121E"/>
    <w:rsid w:val="00E3180D"/>
    <w:rsid w:val="00E32273"/>
    <w:rsid w:val="00E32B6F"/>
    <w:rsid w:val="00E35078"/>
    <w:rsid w:val="00E4160B"/>
    <w:rsid w:val="00E421F1"/>
    <w:rsid w:val="00E457D5"/>
    <w:rsid w:val="00E4643B"/>
    <w:rsid w:val="00E47835"/>
    <w:rsid w:val="00E5072F"/>
    <w:rsid w:val="00E51379"/>
    <w:rsid w:val="00E52EA2"/>
    <w:rsid w:val="00E5376E"/>
    <w:rsid w:val="00E55D37"/>
    <w:rsid w:val="00E64E4E"/>
    <w:rsid w:val="00E71368"/>
    <w:rsid w:val="00E71FDB"/>
    <w:rsid w:val="00E7342E"/>
    <w:rsid w:val="00E779C1"/>
    <w:rsid w:val="00E85CF4"/>
    <w:rsid w:val="00E874B8"/>
    <w:rsid w:val="00E90656"/>
    <w:rsid w:val="00E9686C"/>
    <w:rsid w:val="00EA20F0"/>
    <w:rsid w:val="00EA55CE"/>
    <w:rsid w:val="00EB0B9C"/>
    <w:rsid w:val="00EB2102"/>
    <w:rsid w:val="00EC0149"/>
    <w:rsid w:val="00EC149D"/>
    <w:rsid w:val="00EC36CC"/>
    <w:rsid w:val="00EC5175"/>
    <w:rsid w:val="00EC5928"/>
    <w:rsid w:val="00ED0F29"/>
    <w:rsid w:val="00ED1914"/>
    <w:rsid w:val="00ED289A"/>
    <w:rsid w:val="00ED29C1"/>
    <w:rsid w:val="00EE3135"/>
    <w:rsid w:val="00EE5F74"/>
    <w:rsid w:val="00EF0CE0"/>
    <w:rsid w:val="00EF66C0"/>
    <w:rsid w:val="00F053D8"/>
    <w:rsid w:val="00F069A9"/>
    <w:rsid w:val="00F10D19"/>
    <w:rsid w:val="00F1566A"/>
    <w:rsid w:val="00F21245"/>
    <w:rsid w:val="00F22DF2"/>
    <w:rsid w:val="00F23F31"/>
    <w:rsid w:val="00F2401C"/>
    <w:rsid w:val="00F2544B"/>
    <w:rsid w:val="00F25B4A"/>
    <w:rsid w:val="00F30043"/>
    <w:rsid w:val="00F30308"/>
    <w:rsid w:val="00F30C97"/>
    <w:rsid w:val="00F36CE6"/>
    <w:rsid w:val="00F371A2"/>
    <w:rsid w:val="00F37D47"/>
    <w:rsid w:val="00F4093A"/>
    <w:rsid w:val="00F4137F"/>
    <w:rsid w:val="00F42693"/>
    <w:rsid w:val="00F46C68"/>
    <w:rsid w:val="00F47ECC"/>
    <w:rsid w:val="00F57875"/>
    <w:rsid w:val="00F57BA3"/>
    <w:rsid w:val="00F60C98"/>
    <w:rsid w:val="00F65494"/>
    <w:rsid w:val="00F73B2C"/>
    <w:rsid w:val="00F854B6"/>
    <w:rsid w:val="00F86015"/>
    <w:rsid w:val="00F94708"/>
    <w:rsid w:val="00F94AD2"/>
    <w:rsid w:val="00F96BE2"/>
    <w:rsid w:val="00FA47C6"/>
    <w:rsid w:val="00FA5137"/>
    <w:rsid w:val="00FA6BFD"/>
    <w:rsid w:val="00FB05DB"/>
    <w:rsid w:val="00FB0F97"/>
    <w:rsid w:val="00FB219A"/>
    <w:rsid w:val="00FB2E9C"/>
    <w:rsid w:val="00FB2F0B"/>
    <w:rsid w:val="00FB48CB"/>
    <w:rsid w:val="00FB63D7"/>
    <w:rsid w:val="00FB675A"/>
    <w:rsid w:val="00FC0F29"/>
    <w:rsid w:val="00FC6926"/>
    <w:rsid w:val="00FC7CD4"/>
    <w:rsid w:val="00FD3F24"/>
    <w:rsid w:val="00FD4D2D"/>
    <w:rsid w:val="00FD5390"/>
    <w:rsid w:val="00FD7605"/>
    <w:rsid w:val="00FE0D14"/>
    <w:rsid w:val="00FE65F1"/>
    <w:rsid w:val="00FE74A7"/>
    <w:rsid w:val="036ACA2D"/>
    <w:rsid w:val="03E589E2"/>
    <w:rsid w:val="057C26C4"/>
    <w:rsid w:val="06CAB463"/>
    <w:rsid w:val="0AA1EC86"/>
    <w:rsid w:val="0FDED957"/>
    <w:rsid w:val="1389CB17"/>
    <w:rsid w:val="13FC7FA3"/>
    <w:rsid w:val="1535FE84"/>
    <w:rsid w:val="1766AC1A"/>
    <w:rsid w:val="1BC9F67E"/>
    <w:rsid w:val="1CB7C097"/>
    <w:rsid w:val="1E7AD6B3"/>
    <w:rsid w:val="2092E50D"/>
    <w:rsid w:val="2155DB1B"/>
    <w:rsid w:val="2384BA01"/>
    <w:rsid w:val="25CEC737"/>
    <w:rsid w:val="2957CCDA"/>
    <w:rsid w:val="2A2A66D1"/>
    <w:rsid w:val="2B6BFCB7"/>
    <w:rsid w:val="2E39455C"/>
    <w:rsid w:val="31405E50"/>
    <w:rsid w:val="33C784AA"/>
    <w:rsid w:val="35A1702A"/>
    <w:rsid w:val="361DB373"/>
    <w:rsid w:val="363D6EC8"/>
    <w:rsid w:val="370A01A3"/>
    <w:rsid w:val="37292186"/>
    <w:rsid w:val="37A2ABE2"/>
    <w:rsid w:val="383B6C96"/>
    <w:rsid w:val="3A2C0BD5"/>
    <w:rsid w:val="3A6890FF"/>
    <w:rsid w:val="404F4800"/>
    <w:rsid w:val="407B824B"/>
    <w:rsid w:val="40911E81"/>
    <w:rsid w:val="446817A4"/>
    <w:rsid w:val="4929DB70"/>
    <w:rsid w:val="49D2F34E"/>
    <w:rsid w:val="4B7C3291"/>
    <w:rsid w:val="4F0525A9"/>
    <w:rsid w:val="52E39A49"/>
    <w:rsid w:val="548799FC"/>
    <w:rsid w:val="553FB23E"/>
    <w:rsid w:val="57780BB3"/>
    <w:rsid w:val="57B77556"/>
    <w:rsid w:val="57F5B7DD"/>
    <w:rsid w:val="5C484FF7"/>
    <w:rsid w:val="5D224C08"/>
    <w:rsid w:val="5D5974CE"/>
    <w:rsid w:val="5ED66E6A"/>
    <w:rsid w:val="5F04C50D"/>
    <w:rsid w:val="5F956568"/>
    <w:rsid w:val="6002A4FE"/>
    <w:rsid w:val="60278608"/>
    <w:rsid w:val="6178B088"/>
    <w:rsid w:val="61EDC7E9"/>
    <w:rsid w:val="625086A0"/>
    <w:rsid w:val="65C96477"/>
    <w:rsid w:val="663E53D6"/>
    <w:rsid w:val="676E7FD5"/>
    <w:rsid w:val="6D2A8975"/>
    <w:rsid w:val="6E4FFA4F"/>
    <w:rsid w:val="6E8F401F"/>
    <w:rsid w:val="701976A1"/>
    <w:rsid w:val="701C90B9"/>
    <w:rsid w:val="75F4D1A2"/>
    <w:rsid w:val="78053FC1"/>
    <w:rsid w:val="78DB0B40"/>
    <w:rsid w:val="7ADF3058"/>
    <w:rsid w:val="7C44F7E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B02B"/>
  <w15:docId w15:val="{D9CE884E-3C5F-4143-AD44-ED8BC04B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E8"/>
    <w:rPr>
      <w:rFonts w:ascii="Söhne" w:hAnsi="Söhne"/>
      <w:sz w:val="18"/>
    </w:rPr>
  </w:style>
  <w:style w:type="paragraph" w:styleId="Heading1">
    <w:name w:val="heading 1"/>
    <w:basedOn w:val="Normal"/>
    <w:next w:val="Normal"/>
    <w:link w:val="Heading1Char"/>
    <w:qFormat/>
    <w:rsid w:val="00ED0F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C4790"/>
    <w:pPr>
      <w:spacing w:after="240" w:line="240" w:lineRule="auto"/>
      <w:ind w:left="1506" w:hanging="360"/>
      <w:outlineLvl w:val="1"/>
    </w:pPr>
    <w:rPr>
      <w:rFonts w:ascii="Ottawa" w:eastAsia="Times New Roman" w:hAnsi="Ottawa" w:cs="Times New Roman"/>
      <w:b/>
      <w:bCs/>
      <w:iCs/>
      <w:sz w:val="21"/>
      <w:szCs w:val="28"/>
      <w:lang w:val="en-GB"/>
    </w:rPr>
  </w:style>
  <w:style w:type="paragraph" w:styleId="Heading3">
    <w:name w:val="heading 3"/>
    <w:basedOn w:val="Normal"/>
    <w:next w:val="Normal"/>
    <w:link w:val="Heading3Char"/>
    <w:unhideWhenUsed/>
    <w:qFormat/>
    <w:rsid w:val="00BC4790"/>
    <w:pPr>
      <w:keepNext/>
      <w:keepLines/>
      <w:spacing w:before="200" w:after="0" w:line="276" w:lineRule="auto"/>
      <w:ind w:left="2226" w:hanging="180"/>
      <w:outlineLvl w:val="2"/>
    </w:pPr>
    <w:rPr>
      <w:rFonts w:ascii="Cambria" w:eastAsia="Times New Roman" w:hAnsi="Cambria" w:cs="Times New Roman"/>
      <w:b/>
      <w:bCs/>
      <w:color w:val="4F81BD"/>
      <w:sz w:val="22"/>
      <w:lang w:val="en-US"/>
    </w:rPr>
  </w:style>
  <w:style w:type="paragraph" w:styleId="Heading4">
    <w:name w:val="heading 4"/>
    <w:basedOn w:val="Normal"/>
    <w:next w:val="Normal"/>
    <w:link w:val="Heading4Char"/>
    <w:unhideWhenUsed/>
    <w:qFormat/>
    <w:rsid w:val="00BC4790"/>
    <w:pPr>
      <w:keepNext/>
      <w:keepLines/>
      <w:spacing w:before="200" w:after="0" w:line="240" w:lineRule="auto"/>
      <w:ind w:left="864" w:hanging="144"/>
      <w:outlineLvl w:val="3"/>
    </w:pPr>
    <w:rPr>
      <w:rFonts w:ascii="Cambria" w:eastAsia="Times New Roman" w:hAnsi="Cambria" w:cs="Times New Roman"/>
      <w:b/>
      <w:bCs/>
      <w:i/>
      <w:iCs/>
      <w:color w:val="4F81BD"/>
      <w:sz w:val="24"/>
      <w:szCs w:val="24"/>
      <w:lang w:val="en-GB"/>
    </w:rPr>
  </w:style>
  <w:style w:type="paragraph" w:styleId="Heading5">
    <w:name w:val="heading 5"/>
    <w:basedOn w:val="Normal"/>
    <w:next w:val="Normal"/>
    <w:link w:val="Heading5Char"/>
    <w:unhideWhenUsed/>
    <w:qFormat/>
    <w:rsid w:val="00BC4790"/>
    <w:pPr>
      <w:keepNext/>
      <w:keepLines/>
      <w:spacing w:before="200" w:after="0" w:line="240" w:lineRule="auto"/>
      <w:ind w:left="1008" w:hanging="432"/>
      <w:outlineLvl w:val="4"/>
    </w:pPr>
    <w:rPr>
      <w:rFonts w:ascii="Cambria" w:eastAsia="Times New Roman" w:hAnsi="Cambria" w:cs="Times New Roman"/>
      <w:color w:val="243F60"/>
      <w:sz w:val="24"/>
      <w:szCs w:val="24"/>
      <w:lang w:val="en-GB"/>
    </w:rPr>
  </w:style>
  <w:style w:type="paragraph" w:styleId="Heading6">
    <w:name w:val="heading 6"/>
    <w:basedOn w:val="Normal"/>
    <w:next w:val="Normal"/>
    <w:link w:val="Heading6Char"/>
    <w:qFormat/>
    <w:rsid w:val="00BC4790"/>
    <w:pPr>
      <w:spacing w:before="240" w:after="60" w:line="240" w:lineRule="auto"/>
      <w:ind w:left="1152" w:hanging="432"/>
      <w:outlineLvl w:val="5"/>
    </w:pPr>
    <w:rPr>
      <w:rFonts w:ascii="Times New Roman" w:eastAsia="MS Mincho" w:hAnsi="Times New Roman" w:cs="Times New Roman"/>
      <w:b/>
      <w:bCs/>
      <w:sz w:val="22"/>
      <w:lang w:eastAsia="ja-JP"/>
    </w:rPr>
  </w:style>
  <w:style w:type="paragraph" w:styleId="Heading7">
    <w:name w:val="heading 7"/>
    <w:basedOn w:val="Normal"/>
    <w:next w:val="Normal"/>
    <w:link w:val="Heading7Char"/>
    <w:qFormat/>
    <w:rsid w:val="00BC4790"/>
    <w:pPr>
      <w:spacing w:before="280" w:after="0" w:line="360" w:lineRule="auto"/>
      <w:ind w:left="1296" w:hanging="288"/>
      <w:outlineLvl w:val="6"/>
    </w:pPr>
    <w:rPr>
      <w:rFonts w:ascii="Cambria" w:eastAsia="Times New Roman" w:hAnsi="Cambria" w:cs="Times New Roman"/>
      <w:b/>
      <w:bCs/>
      <w:i/>
      <w:iCs/>
      <w:sz w:val="20"/>
      <w:szCs w:val="20"/>
      <w:lang w:val="en-US" w:bidi="en-US"/>
    </w:rPr>
  </w:style>
  <w:style w:type="paragraph" w:styleId="Heading8">
    <w:name w:val="heading 8"/>
    <w:aliases w:val="figure"/>
    <w:basedOn w:val="Normal"/>
    <w:next w:val="Normal"/>
    <w:link w:val="Heading8Char"/>
    <w:qFormat/>
    <w:rsid w:val="00BC4790"/>
    <w:pPr>
      <w:spacing w:before="280" w:after="0" w:line="360" w:lineRule="auto"/>
      <w:ind w:left="1440" w:hanging="432"/>
      <w:outlineLvl w:val="7"/>
    </w:pPr>
    <w:rPr>
      <w:rFonts w:ascii="Cambria" w:eastAsia="Times New Roman" w:hAnsi="Cambria" w:cs="Times New Roman"/>
      <w:b/>
      <w:bCs/>
      <w:i/>
      <w:iCs/>
      <w:szCs w:val="18"/>
      <w:lang w:val="en-US" w:bidi="en-US"/>
    </w:rPr>
  </w:style>
  <w:style w:type="paragraph" w:styleId="Heading9">
    <w:name w:val="heading 9"/>
    <w:aliases w:val="table"/>
    <w:basedOn w:val="Normal"/>
    <w:next w:val="Normal"/>
    <w:link w:val="Heading9Char"/>
    <w:qFormat/>
    <w:rsid w:val="00BC4790"/>
    <w:pPr>
      <w:spacing w:before="280" w:after="0" w:line="360" w:lineRule="auto"/>
      <w:ind w:left="1584" w:hanging="144"/>
      <w:outlineLvl w:val="8"/>
    </w:pPr>
    <w:rPr>
      <w:rFonts w:ascii="Cambria" w:eastAsia="Times New Roman" w:hAnsi="Cambria" w:cs="Times New Roman"/>
      <w:i/>
      <w:iCs/>
      <w:szCs w:val="18"/>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uiPriority w:val="99"/>
    <w:rsid w:val="00AA568B"/>
    <w:pPr>
      <w:spacing w:after="120" w:line="240" w:lineRule="auto"/>
      <w:ind w:left="426" w:hanging="426"/>
      <w:jc w:val="both"/>
    </w:pPr>
    <w:rPr>
      <w:rFonts w:ascii="Söhne Halbfett" w:eastAsiaTheme="minorEastAsia" w:hAnsi="Söhne Halbfett" w:cs="Arial"/>
      <w:bCs/>
      <w:color w:val="000000"/>
      <w:szCs w:val="18"/>
      <w:lang w:val="en-GB"/>
    </w:rPr>
  </w:style>
  <w:style w:type="paragraph" w:customStyle="1" w:styleId="11">
    <w:name w:val="1.1"/>
    <w:basedOn w:val="Normal"/>
    <w:uiPriority w:val="99"/>
    <w:rsid w:val="00AA568B"/>
    <w:pPr>
      <w:spacing w:after="240" w:line="240" w:lineRule="auto"/>
      <w:ind w:left="850" w:hanging="425"/>
    </w:pPr>
    <w:rPr>
      <w:rFonts w:ascii="Söhne Halbfett" w:eastAsiaTheme="minorEastAsia" w:hAnsi="Söhne Halbfett" w:cs="Arial"/>
      <w:sz w:val="20"/>
      <w:lang w:val="en-GB"/>
    </w:rPr>
  </w:style>
  <w:style w:type="paragraph" w:customStyle="1" w:styleId="111">
    <w:name w:val="1.1.1"/>
    <w:basedOn w:val="Normal"/>
    <w:uiPriority w:val="99"/>
    <w:qFormat/>
    <w:rsid w:val="00AA568B"/>
    <w:pPr>
      <w:spacing w:after="120" w:line="240" w:lineRule="auto"/>
      <w:ind w:left="1418" w:hanging="567"/>
    </w:pPr>
    <w:rPr>
      <w:rFonts w:ascii="Söhne Kräftig" w:eastAsiaTheme="minorEastAsia" w:hAnsi="Söhne Kräftig" w:cs="Arial"/>
      <w:sz w:val="19"/>
      <w:szCs w:val="20"/>
      <w:lang w:val="en-GB"/>
    </w:rPr>
  </w:style>
  <w:style w:type="paragraph" w:customStyle="1" w:styleId="1111">
    <w:name w:val="1.1.1.1"/>
    <w:basedOn w:val="Normal"/>
    <w:uiPriority w:val="99"/>
    <w:qFormat/>
    <w:rsid w:val="00AA568B"/>
    <w:pPr>
      <w:spacing w:after="120" w:line="240" w:lineRule="auto"/>
      <w:ind w:left="1843" w:hanging="425"/>
    </w:pPr>
    <w:rPr>
      <w:rFonts w:ascii="Söhne Kräftig" w:eastAsiaTheme="minorEastAsia" w:hAnsi="Söhne Kräftig" w:cs="Arial"/>
      <w:szCs w:val="18"/>
      <w:lang w:val="en-GB"/>
    </w:rPr>
  </w:style>
  <w:style w:type="paragraph" w:customStyle="1" w:styleId="111Para">
    <w:name w:val="1.1.1_Para"/>
    <w:basedOn w:val="Normal"/>
    <w:qFormat/>
    <w:rsid w:val="00AA568B"/>
    <w:pPr>
      <w:spacing w:after="240" w:line="240" w:lineRule="auto"/>
      <w:ind w:left="1418"/>
      <w:jc w:val="both"/>
    </w:pPr>
    <w:rPr>
      <w:rFonts w:eastAsiaTheme="minorEastAsia" w:cs="Arial"/>
      <w:szCs w:val="18"/>
      <w:lang w:val="en-GB"/>
    </w:rPr>
  </w:style>
  <w:style w:type="paragraph" w:customStyle="1" w:styleId="11ilist">
    <w:name w:val="1.1.i_list"/>
    <w:basedOn w:val="ListParagraph"/>
    <w:uiPriority w:val="99"/>
    <w:rsid w:val="00AA568B"/>
    <w:pPr>
      <w:tabs>
        <w:tab w:val="left" w:pos="851"/>
      </w:tabs>
      <w:spacing w:after="120" w:line="240" w:lineRule="auto"/>
      <w:ind w:left="1276" w:hanging="425"/>
      <w:contextualSpacing w:val="0"/>
      <w:jc w:val="both"/>
    </w:pPr>
    <w:rPr>
      <w:rFonts w:eastAsiaTheme="minorEastAsia" w:cs="Arial"/>
      <w:szCs w:val="18"/>
      <w:lang w:val="en-GB"/>
    </w:rPr>
  </w:style>
  <w:style w:type="paragraph" w:styleId="ListParagraph">
    <w:name w:val="List Paragraph"/>
    <w:basedOn w:val="Normal"/>
    <w:uiPriority w:val="34"/>
    <w:qFormat/>
    <w:rsid w:val="00AA568B"/>
    <w:pPr>
      <w:ind w:left="720"/>
      <w:contextualSpacing/>
    </w:pPr>
  </w:style>
  <w:style w:type="paragraph" w:customStyle="1" w:styleId="11Para">
    <w:name w:val="1.1_Para"/>
    <w:basedOn w:val="Normal"/>
    <w:uiPriority w:val="99"/>
    <w:rsid w:val="00AA568B"/>
    <w:pPr>
      <w:spacing w:after="240" w:line="240" w:lineRule="auto"/>
      <w:ind w:left="851"/>
      <w:jc w:val="both"/>
    </w:pPr>
    <w:rPr>
      <w:rFonts w:eastAsiaTheme="minorEastAsia" w:cs="Arial"/>
      <w:szCs w:val="18"/>
      <w:lang w:val="en-GB"/>
    </w:rPr>
  </w:style>
  <w:style w:type="paragraph" w:customStyle="1" w:styleId="11111">
    <w:name w:val="1.1.1.1.1"/>
    <w:basedOn w:val="Normal"/>
    <w:uiPriority w:val="99"/>
    <w:rsid w:val="00AA568B"/>
    <w:pPr>
      <w:spacing w:after="120" w:line="240" w:lineRule="auto"/>
      <w:ind w:left="1588"/>
    </w:pPr>
    <w:rPr>
      <w:rFonts w:eastAsiaTheme="minorEastAsia" w:cs="Arial"/>
      <w:szCs w:val="18"/>
      <w:lang w:val="en-GB"/>
    </w:rPr>
  </w:style>
  <w:style w:type="paragraph" w:customStyle="1" w:styleId="1Para">
    <w:name w:val="1_Para"/>
    <w:basedOn w:val="Normal"/>
    <w:uiPriority w:val="99"/>
    <w:rsid w:val="00AA568B"/>
    <w:pPr>
      <w:spacing w:after="240" w:line="240" w:lineRule="auto"/>
      <w:jc w:val="both"/>
    </w:pPr>
    <w:rPr>
      <w:rFonts w:eastAsiaTheme="minorEastAsia" w:cs="Arial"/>
      <w:szCs w:val="18"/>
      <w:lang w:val="en-GB"/>
    </w:rPr>
  </w:style>
  <w:style w:type="paragraph" w:customStyle="1" w:styleId="A">
    <w:name w:val="A"/>
    <w:basedOn w:val="Normal"/>
    <w:uiPriority w:val="99"/>
    <w:rsid w:val="00AA568B"/>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afourthlevel">
    <w:name w:val="a)_fourth_level"/>
    <w:basedOn w:val="Normal"/>
    <w:uiPriority w:val="99"/>
    <w:rsid w:val="00AA568B"/>
    <w:pPr>
      <w:spacing w:after="120" w:line="240" w:lineRule="auto"/>
      <w:ind w:left="1843" w:hanging="425"/>
    </w:pPr>
    <w:rPr>
      <w:rFonts w:ascii="Söhne Kräftig" w:eastAsiaTheme="minorEastAsia" w:hAnsi="Söhne Kräftig" w:cs="Arial"/>
      <w:szCs w:val="20"/>
      <w:lang w:val="en-GB"/>
    </w:rPr>
  </w:style>
  <w:style w:type="paragraph" w:customStyle="1" w:styleId="afourthpara">
    <w:name w:val="a)_four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Chaptertitle">
    <w:name w:val="Chapter_title"/>
    <w:basedOn w:val="Normal"/>
    <w:rsid w:val="00ED0F29"/>
    <w:pPr>
      <w:pBdr>
        <w:bottom w:val="single" w:sz="6" w:space="10" w:color="auto"/>
      </w:pBdr>
      <w:tabs>
        <w:tab w:val="left" w:pos="-720"/>
      </w:tabs>
      <w:spacing w:after="48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AA568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AA568B"/>
    <w:pPr>
      <w:spacing w:after="120" w:line="240" w:lineRule="auto"/>
      <w:ind w:left="2268" w:hanging="425"/>
      <w:jc w:val="both"/>
    </w:pPr>
    <w:rPr>
      <w:rFonts w:eastAsiaTheme="minorEastAsia" w:cs="Arial"/>
      <w:szCs w:val="18"/>
      <w:lang w:val="en-GB"/>
    </w:rPr>
  </w:style>
  <w:style w:type="paragraph" w:customStyle="1" w:styleId="dotsixthpara">
    <w:name w:val="dot_sixth_para"/>
    <w:basedOn w:val="Normal"/>
    <w:uiPriority w:val="99"/>
    <w:rsid w:val="00AA568B"/>
    <w:pPr>
      <w:spacing w:after="240" w:line="240" w:lineRule="auto"/>
      <w:ind w:left="2268"/>
      <w:jc w:val="both"/>
    </w:pPr>
    <w:rPr>
      <w:rFonts w:eastAsiaTheme="minorEastAsia" w:cs="Arial"/>
      <w:szCs w:val="18"/>
      <w:lang w:val="en-GB"/>
    </w:rPr>
  </w:style>
  <w:style w:type="paragraph" w:styleId="Footer">
    <w:name w:val="footer"/>
    <w:basedOn w:val="Normal"/>
    <w:link w:val="FooterChar"/>
    <w:uiPriority w:val="99"/>
    <w:rsid w:val="0016770C"/>
    <w:pPr>
      <w:widowControl w:val="0"/>
      <w:pBdr>
        <w:top w:val="single" w:sz="4" w:space="5" w:color="auto"/>
      </w:pBdr>
      <w:tabs>
        <w:tab w:val="right" w:pos="9072"/>
      </w:tabs>
      <w:spacing w:after="0" w:line="240" w:lineRule="auto"/>
    </w:pPr>
    <w:rPr>
      <w:rFonts w:eastAsiaTheme="minorEastAsia" w:cs="Times New Roman"/>
      <w:sz w:val="16"/>
      <w:lang w:val="en-US"/>
    </w:rPr>
  </w:style>
  <w:style w:type="character" w:customStyle="1" w:styleId="FooterChar">
    <w:name w:val="Footer Char"/>
    <w:basedOn w:val="DefaultParagraphFont"/>
    <w:link w:val="Footer"/>
    <w:uiPriority w:val="99"/>
    <w:rsid w:val="0016770C"/>
    <w:rPr>
      <w:rFonts w:ascii="Söhne" w:eastAsiaTheme="minorEastAsia" w:hAnsi="Söhne" w:cs="Times New Roman"/>
      <w:sz w:val="16"/>
      <w:lang w:val="en-US"/>
    </w:rPr>
  </w:style>
  <w:style w:type="paragraph" w:styleId="Header">
    <w:name w:val="header"/>
    <w:basedOn w:val="Normal"/>
    <w:link w:val="HeaderChar"/>
    <w:uiPriority w:val="99"/>
    <w:rsid w:val="0016770C"/>
    <w:pPr>
      <w:widowControl w:val="0"/>
      <w:pBdr>
        <w:bottom w:val="single" w:sz="4" w:space="5" w:color="auto"/>
      </w:pBdr>
      <w:tabs>
        <w:tab w:val="center" w:pos="4536"/>
        <w:tab w:val="right" w:pos="9072"/>
      </w:tabs>
      <w:spacing w:after="0" w:line="240" w:lineRule="auto"/>
      <w:jc w:val="center"/>
    </w:pPr>
    <w:rPr>
      <w:rFonts w:eastAsiaTheme="minorEastAsia" w:cs="Times New Roman"/>
      <w:i/>
      <w:sz w:val="16"/>
      <w:lang w:val="en-US"/>
    </w:rPr>
  </w:style>
  <w:style w:type="character" w:customStyle="1" w:styleId="HeaderChar">
    <w:name w:val="Header Char"/>
    <w:basedOn w:val="DefaultParagraphFont"/>
    <w:link w:val="Header"/>
    <w:uiPriority w:val="99"/>
    <w:rsid w:val="0016770C"/>
    <w:rPr>
      <w:rFonts w:ascii="Söhne" w:eastAsiaTheme="minorEastAsia" w:hAnsi="Söhne" w:cs="Times New Roman"/>
      <w:i/>
      <w:sz w:val="16"/>
      <w:lang w:val="en-US"/>
    </w:rPr>
  </w:style>
  <w:style w:type="paragraph" w:customStyle="1" w:styleId="i">
    <w:name w:val="i)"/>
    <w:basedOn w:val="Normal"/>
    <w:uiPriority w:val="99"/>
    <w:rsid w:val="00AA568B"/>
    <w:pPr>
      <w:spacing w:after="120" w:line="240" w:lineRule="auto"/>
      <w:ind w:left="1843" w:hanging="425"/>
      <w:jc w:val="both"/>
    </w:pPr>
    <w:rPr>
      <w:rFonts w:eastAsiaTheme="minorEastAsia" w:cs="Arial"/>
      <w:szCs w:val="18"/>
      <w:lang w:val="en-GB"/>
    </w:rPr>
  </w:style>
  <w:style w:type="paragraph" w:customStyle="1" w:styleId="ififthlevel">
    <w:name w:val="i)_fifth_level"/>
    <w:basedOn w:val="Normal"/>
    <w:uiPriority w:val="99"/>
    <w:rsid w:val="00AA568B"/>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ilast">
    <w:name w:val="i)_last"/>
    <w:basedOn w:val="Normal"/>
    <w:uiPriority w:val="99"/>
    <w:rsid w:val="00AA568B"/>
    <w:pPr>
      <w:spacing w:after="240" w:line="240" w:lineRule="auto"/>
      <w:ind w:left="1843" w:hanging="425"/>
    </w:pPr>
    <w:rPr>
      <w:rFonts w:ascii="Arial" w:eastAsiaTheme="minorEastAsia" w:hAnsi="Arial" w:cs="Arial"/>
      <w:szCs w:val="18"/>
      <w:lang w:val="en-GB"/>
    </w:rPr>
  </w:style>
  <w:style w:type="paragraph" w:customStyle="1" w:styleId="ififthlevellist">
    <w:name w:val="i_fifth_level_list"/>
    <w:basedOn w:val="ififthpara"/>
    <w:uiPriority w:val="99"/>
    <w:rsid w:val="00AA568B"/>
    <w:pPr>
      <w:spacing w:after="120"/>
      <w:ind w:hanging="425"/>
    </w:pPr>
  </w:style>
  <w:style w:type="character" w:styleId="LineNumber">
    <w:name w:val="line number"/>
    <w:basedOn w:val="DefaultParagraphFont"/>
    <w:uiPriority w:val="99"/>
    <w:semiHidden/>
    <w:rsid w:val="00AA568B"/>
    <w:rPr>
      <w:rFonts w:cs="Times New Roman"/>
    </w:rPr>
  </w:style>
  <w:style w:type="paragraph" w:customStyle="1" w:styleId="paraA">
    <w:name w:val="paraA"/>
    <w:basedOn w:val="Normal"/>
    <w:link w:val="paraACar"/>
    <w:uiPriority w:val="99"/>
    <w:rsid w:val="00AA568B"/>
    <w:pPr>
      <w:tabs>
        <w:tab w:val="left" w:pos="-720"/>
      </w:tabs>
      <w:spacing w:after="240" w:line="240" w:lineRule="auto"/>
      <w:jc w:val="both"/>
    </w:pPr>
    <w:rPr>
      <w:rFonts w:eastAsia="Times New Roman" w:cs="Times New Roman"/>
      <w:szCs w:val="18"/>
      <w:lang w:val="en-GB" w:eastAsia="fr-FR"/>
    </w:rPr>
  </w:style>
  <w:style w:type="character" w:customStyle="1" w:styleId="paraACar">
    <w:name w:val="paraA Car"/>
    <w:link w:val="paraA"/>
    <w:uiPriority w:val="99"/>
    <w:locked/>
    <w:rsid w:val="00AA568B"/>
    <w:rPr>
      <w:rFonts w:ascii="Söhne" w:eastAsia="Times New Roman" w:hAnsi="Söhne" w:cs="Times New Roman"/>
      <w:sz w:val="18"/>
      <w:szCs w:val="18"/>
      <w:lang w:val="en-GB" w:eastAsia="fr-FR"/>
    </w:rPr>
  </w:style>
  <w:style w:type="paragraph" w:customStyle="1" w:styleId="rtoiles">
    <w:name w:val="r_étoiles"/>
    <w:basedOn w:val="Normal"/>
    <w:next w:val="Normal"/>
    <w:uiPriority w:val="99"/>
    <w:rsid w:val="00AA568B"/>
    <w:pPr>
      <w:keepLines/>
      <w:spacing w:before="240" w:after="240" w:line="240" w:lineRule="atLeast"/>
      <w:jc w:val="center"/>
    </w:pPr>
    <w:rPr>
      <w:rFonts w:ascii="Times New Roman" w:eastAsia="Times New Roman" w:hAnsi="Times New Roman" w:cs="Times New Roman"/>
      <w:sz w:val="20"/>
      <w:szCs w:val="20"/>
      <w:lang w:eastAsia="fr-FR"/>
    </w:rPr>
  </w:style>
  <w:style w:type="paragraph" w:customStyle="1" w:styleId="Referencetitle">
    <w:name w:val="Reference_title"/>
    <w:basedOn w:val="Normal"/>
    <w:uiPriority w:val="99"/>
    <w:rsid w:val="00AA568B"/>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rfrences">
    <w:name w:val="références"/>
    <w:basedOn w:val="Normal"/>
    <w:link w:val="rfrencesChar"/>
    <w:rsid w:val="00AA568B"/>
    <w:pPr>
      <w:spacing w:after="240" w:line="240" w:lineRule="auto"/>
      <w:jc w:val="both"/>
    </w:pPr>
    <w:rPr>
      <w:rFonts w:eastAsia="Times New Roman" w:cs="Times New Roman"/>
      <w:lang w:eastAsia="fr-FR" w:bidi="en-US"/>
    </w:rPr>
  </w:style>
  <w:style w:type="character" w:customStyle="1" w:styleId="rfrencesChar">
    <w:name w:val="références Char"/>
    <w:link w:val="rfrences"/>
    <w:rsid w:val="00AA568B"/>
    <w:rPr>
      <w:rFonts w:ascii="Söhne" w:eastAsia="Times New Roman" w:hAnsi="Söhne" w:cs="Times New Roman"/>
      <w:sz w:val="18"/>
      <w:lang w:eastAsia="fr-FR" w:bidi="en-US"/>
    </w:rPr>
  </w:style>
  <w:style w:type="paragraph" w:customStyle="1" w:styleId="Summarytitle">
    <w:name w:val="Summary_title"/>
    <w:basedOn w:val="Normal"/>
    <w:uiPriority w:val="99"/>
    <w:rsid w:val="00AA568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AA568B"/>
    <w:pPr>
      <w:tabs>
        <w:tab w:val="left" w:pos="-720"/>
      </w:tabs>
      <w:spacing w:after="120" w:line="240" w:lineRule="exact"/>
      <w:ind w:left="567" w:right="567"/>
      <w:jc w:val="both"/>
    </w:pPr>
    <w:rPr>
      <w:rFonts w:eastAsia="Times New Roman" w:cs="Arial"/>
      <w:i/>
      <w:iCs/>
      <w:szCs w:val="18"/>
      <w:lang w:val="en-GB" w:eastAsia="fr-FR"/>
    </w:rPr>
  </w:style>
  <w:style w:type="character" w:customStyle="1" w:styleId="Heading1Char">
    <w:name w:val="Heading 1 Char"/>
    <w:basedOn w:val="DefaultParagraphFont"/>
    <w:link w:val="Heading1"/>
    <w:uiPriority w:val="9"/>
    <w:rsid w:val="00ED0F29"/>
    <w:rPr>
      <w:rFonts w:asciiTheme="majorHAnsi" w:eastAsiaTheme="majorEastAsia" w:hAnsiTheme="majorHAnsi" w:cstheme="majorBidi"/>
      <w:color w:val="2F5496" w:themeColor="accent1" w:themeShade="BF"/>
      <w:sz w:val="32"/>
      <w:szCs w:val="32"/>
    </w:rPr>
  </w:style>
  <w:style w:type="paragraph" w:customStyle="1" w:styleId="10">
    <w:name w:val="1."/>
    <w:basedOn w:val="Normal"/>
    <w:link w:val="1Car"/>
    <w:rsid w:val="00A21D22"/>
    <w:pPr>
      <w:spacing w:after="240" w:line="240" w:lineRule="auto"/>
      <w:ind w:left="284" w:hanging="284"/>
      <w:jc w:val="both"/>
    </w:pPr>
    <w:rPr>
      <w:rFonts w:ascii="Söhne Halbfett" w:eastAsia="MS Mincho" w:hAnsi="Söhne Halbfett" w:cs="Times New Roman"/>
      <w:sz w:val="22"/>
      <w:szCs w:val="20"/>
      <w:lang w:val="fr-BE" w:eastAsia="fr-FR"/>
    </w:rPr>
  </w:style>
  <w:style w:type="character" w:customStyle="1" w:styleId="1Car">
    <w:name w:val="1. Car"/>
    <w:link w:val="10"/>
    <w:locked/>
    <w:rsid w:val="00A21D22"/>
    <w:rPr>
      <w:rFonts w:ascii="Söhne Halbfett" w:eastAsia="MS Mincho" w:hAnsi="Söhne Halbfett" w:cs="Times New Roman"/>
      <w:szCs w:val="20"/>
      <w:lang w:val="fr-BE" w:eastAsia="fr-FR"/>
    </w:rPr>
  </w:style>
  <w:style w:type="paragraph" w:customStyle="1" w:styleId="Para1">
    <w:name w:val="Para 1"/>
    <w:basedOn w:val="Normal"/>
    <w:link w:val="Para1Car"/>
    <w:rsid w:val="00ED0F29"/>
    <w:pPr>
      <w:spacing w:after="240" w:line="240" w:lineRule="auto"/>
      <w:jc w:val="both"/>
    </w:pPr>
    <w:rPr>
      <w:rFonts w:eastAsia="Times New Roman" w:cs="Times New Roman"/>
      <w:lang w:val="en-IE" w:bidi="en-US"/>
    </w:rPr>
  </w:style>
  <w:style w:type="character" w:customStyle="1" w:styleId="Para1Car">
    <w:name w:val="Para 1 Car"/>
    <w:link w:val="Para1"/>
    <w:rsid w:val="00ED0F29"/>
    <w:rPr>
      <w:rFonts w:ascii="Söhne" w:eastAsia="Times New Roman" w:hAnsi="Söhne" w:cs="Times New Roman"/>
      <w:sz w:val="18"/>
      <w:lang w:val="en-IE" w:bidi="en-US"/>
    </w:rPr>
  </w:style>
  <w:style w:type="paragraph" w:customStyle="1" w:styleId="110">
    <w:name w:val="1.1."/>
    <w:basedOn w:val="Normal"/>
    <w:rsid w:val="00ED0F29"/>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Para3">
    <w:name w:val="Para 3"/>
    <w:basedOn w:val="Normal"/>
    <w:link w:val="Para3Car"/>
    <w:qFormat/>
    <w:rsid w:val="00F30043"/>
    <w:pPr>
      <w:spacing w:after="240" w:line="240" w:lineRule="auto"/>
      <w:ind w:left="1134"/>
      <w:jc w:val="both"/>
    </w:pPr>
    <w:rPr>
      <w:rFonts w:eastAsia="Times New Roman" w:cs="Times New Roman"/>
      <w:bCs/>
      <w:lang w:val="en-IE"/>
    </w:rPr>
  </w:style>
  <w:style w:type="character" w:customStyle="1" w:styleId="Para3Car">
    <w:name w:val="Para 3 Car"/>
    <w:link w:val="Para3"/>
    <w:qFormat/>
    <w:rsid w:val="00F30043"/>
    <w:rPr>
      <w:rFonts w:ascii="Söhne" w:eastAsia="Times New Roman" w:hAnsi="Söhne" w:cs="Times New Roman"/>
      <w:bCs/>
      <w:sz w:val="18"/>
      <w:lang w:val="en-IE"/>
    </w:rPr>
  </w:style>
  <w:style w:type="paragraph" w:customStyle="1" w:styleId="1110">
    <w:name w:val="1.1.1."/>
    <w:basedOn w:val="Normal"/>
    <w:rsid w:val="00F30043"/>
    <w:pPr>
      <w:spacing w:after="120" w:line="240" w:lineRule="auto"/>
      <w:ind w:left="1134" w:hanging="567"/>
      <w:jc w:val="both"/>
    </w:pPr>
    <w:rPr>
      <w:rFonts w:ascii="Söhne Kräftig" w:eastAsia="Times New Roman" w:hAnsi="Söhne Kräftig" w:cs="Times New Roman"/>
      <w:bCs/>
      <w:sz w:val="20"/>
      <w:lang w:val="en-GB" w:eastAsia="fr-FR"/>
    </w:rPr>
  </w:style>
  <w:style w:type="character" w:customStyle="1" w:styleId="normaltextrun">
    <w:name w:val="normaltextrun"/>
    <w:basedOn w:val="DefaultParagraphFont"/>
    <w:rsid w:val="00ED0F29"/>
  </w:style>
  <w:style w:type="character" w:styleId="Hyperlink">
    <w:name w:val="Hyperlink"/>
    <w:unhideWhenUsed/>
    <w:rsid w:val="00B854E8"/>
    <w:rPr>
      <w:color w:val="0000FF"/>
      <w:u w:val="single"/>
    </w:rPr>
  </w:style>
  <w:style w:type="paragraph" w:styleId="CommentText">
    <w:name w:val="annotation text"/>
    <w:basedOn w:val="Normal"/>
    <w:link w:val="CommentTextChar"/>
    <w:uiPriority w:val="99"/>
    <w:unhideWhenUsed/>
    <w:rsid w:val="00B854E8"/>
    <w:pPr>
      <w:widowControl w:val="0"/>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854E8"/>
    <w:rPr>
      <w:rFonts w:ascii="Calibri" w:eastAsia="Calibri" w:hAnsi="Calibri" w:cs="Times New Roman"/>
      <w:sz w:val="20"/>
      <w:szCs w:val="20"/>
      <w:lang w:val="en-US"/>
    </w:rPr>
  </w:style>
  <w:style w:type="character" w:styleId="CommentReference">
    <w:name w:val="annotation reference"/>
    <w:uiPriority w:val="99"/>
    <w:unhideWhenUsed/>
    <w:rsid w:val="00B854E8"/>
    <w:rPr>
      <w:sz w:val="16"/>
      <w:szCs w:val="16"/>
    </w:rPr>
  </w:style>
  <w:style w:type="paragraph" w:customStyle="1" w:styleId="Tabletitle">
    <w:name w:val="Table title"/>
    <w:basedOn w:val="Normal"/>
    <w:link w:val="TabletitleCar"/>
    <w:autoRedefine/>
    <w:rsid w:val="00B854E8"/>
    <w:pPr>
      <w:spacing w:after="120" w:line="240" w:lineRule="auto"/>
      <w:jc w:val="center"/>
    </w:pPr>
    <w:rPr>
      <w:rFonts w:ascii="Söhne Kräftig" w:eastAsia="Times New Roman" w:hAnsi="Söhne Kräftig" w:cs="Times New Roman"/>
      <w:b/>
      <w:bCs/>
      <w:i/>
      <w:lang w:val="en-IE" w:bidi="en-US"/>
    </w:rPr>
  </w:style>
  <w:style w:type="paragraph" w:customStyle="1" w:styleId="Para2">
    <w:name w:val="Para 2"/>
    <w:basedOn w:val="Normal"/>
    <w:link w:val="Para2Car"/>
    <w:qFormat/>
    <w:rsid w:val="00B854E8"/>
    <w:pPr>
      <w:spacing w:after="240" w:line="240" w:lineRule="auto"/>
      <w:ind w:left="567"/>
      <w:jc w:val="both"/>
    </w:pPr>
    <w:rPr>
      <w:rFonts w:eastAsia="Times New Roman" w:cs="Times New Roman"/>
      <w:lang w:val="en-IE"/>
    </w:rPr>
  </w:style>
  <w:style w:type="character" w:customStyle="1" w:styleId="Para2Car">
    <w:name w:val="Para 2 Car"/>
    <w:link w:val="Para2"/>
    <w:rsid w:val="00B854E8"/>
    <w:rPr>
      <w:rFonts w:ascii="Söhne" w:eastAsia="Times New Roman" w:hAnsi="Söhne" w:cs="Times New Roman"/>
      <w:sz w:val="18"/>
      <w:lang w:val="en-IE"/>
    </w:rPr>
  </w:style>
  <w:style w:type="paragraph" w:customStyle="1" w:styleId="StyleTitre1Arial">
    <w:name w:val="Style Titre 1 + Arial"/>
    <w:basedOn w:val="Heading1"/>
    <w:rsid w:val="00B854E8"/>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character" w:customStyle="1" w:styleId="TabletitleCar">
    <w:name w:val="Table title Car"/>
    <w:link w:val="Tabletitle"/>
    <w:rsid w:val="00B854E8"/>
    <w:rPr>
      <w:rFonts w:ascii="Söhne Kräftig" w:eastAsia="Times New Roman" w:hAnsi="Söhne Kräftig" w:cs="Times New Roman"/>
      <w:b/>
      <w:bCs/>
      <w:i/>
      <w:sz w:val="18"/>
      <w:lang w:val="en-IE" w:bidi="en-US"/>
    </w:rPr>
  </w:style>
  <w:style w:type="paragraph" w:customStyle="1" w:styleId="TableHead">
    <w:name w:val="Table Head"/>
    <w:basedOn w:val="Normal"/>
    <w:link w:val="TableHeadCar"/>
    <w:rsid w:val="00B854E8"/>
    <w:pPr>
      <w:spacing w:before="120" w:after="120" w:line="240" w:lineRule="auto"/>
      <w:jc w:val="center"/>
    </w:pPr>
    <w:rPr>
      <w:rFonts w:ascii="Ottawa" w:eastAsia="Times New Roman" w:hAnsi="Ottawa" w:cs="Times New Roman"/>
      <w:b/>
      <w:bCs/>
      <w:lang w:val="en-IE" w:bidi="en-US"/>
    </w:rPr>
  </w:style>
  <w:style w:type="paragraph" w:customStyle="1" w:styleId="Tabletext">
    <w:name w:val="Table text"/>
    <w:basedOn w:val="Normal"/>
    <w:rsid w:val="00B854E8"/>
    <w:pPr>
      <w:spacing w:before="120" w:after="120" w:line="240" w:lineRule="auto"/>
      <w:jc w:val="center"/>
    </w:pPr>
    <w:rPr>
      <w:rFonts w:ascii="Arial" w:eastAsia="Times New Roman" w:hAnsi="Arial" w:cs="Arial"/>
      <w:bCs/>
      <w:lang w:val="en-IE" w:bidi="en-US"/>
    </w:rPr>
  </w:style>
  <w:style w:type="character" w:customStyle="1" w:styleId="TableHeadCar">
    <w:name w:val="Table Head Car"/>
    <w:link w:val="TableHead"/>
    <w:rsid w:val="00B854E8"/>
    <w:rPr>
      <w:rFonts w:ascii="Ottawa" w:eastAsia="Times New Roman" w:hAnsi="Ottawa" w:cs="Times New Roman"/>
      <w:b/>
      <w:bCs/>
      <w:sz w:val="18"/>
      <w:lang w:val="en-IE" w:bidi="en-US"/>
    </w:rPr>
  </w:style>
  <w:style w:type="character" w:customStyle="1" w:styleId="Heading2Char">
    <w:name w:val="Heading 2 Char"/>
    <w:basedOn w:val="DefaultParagraphFont"/>
    <w:link w:val="Heading2"/>
    <w:rsid w:val="00BC4790"/>
    <w:rPr>
      <w:rFonts w:ascii="Ottawa" w:eastAsia="Times New Roman" w:hAnsi="Ottawa" w:cs="Times New Roman"/>
      <w:b/>
      <w:bCs/>
      <w:iCs/>
      <w:sz w:val="21"/>
      <w:szCs w:val="28"/>
      <w:lang w:val="en-GB"/>
    </w:rPr>
  </w:style>
  <w:style w:type="character" w:customStyle="1" w:styleId="Heading3Char">
    <w:name w:val="Heading 3 Char"/>
    <w:basedOn w:val="DefaultParagraphFont"/>
    <w:link w:val="Heading3"/>
    <w:rsid w:val="00BC4790"/>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BC4790"/>
    <w:rPr>
      <w:rFonts w:ascii="Cambria" w:eastAsia="Times New Roman" w:hAnsi="Cambria" w:cs="Times New Roman"/>
      <w:b/>
      <w:bCs/>
      <w:i/>
      <w:iCs/>
      <w:color w:val="4F81BD"/>
      <w:sz w:val="24"/>
      <w:szCs w:val="24"/>
      <w:lang w:val="en-GB"/>
    </w:rPr>
  </w:style>
  <w:style w:type="character" w:customStyle="1" w:styleId="Heading5Char">
    <w:name w:val="Heading 5 Char"/>
    <w:basedOn w:val="DefaultParagraphFont"/>
    <w:link w:val="Heading5"/>
    <w:rsid w:val="00BC4790"/>
    <w:rPr>
      <w:rFonts w:ascii="Cambria" w:eastAsia="Times New Roman" w:hAnsi="Cambria" w:cs="Times New Roman"/>
      <w:color w:val="243F60"/>
      <w:sz w:val="24"/>
      <w:szCs w:val="24"/>
      <w:lang w:val="en-GB"/>
    </w:rPr>
  </w:style>
  <w:style w:type="character" w:customStyle="1" w:styleId="Heading6Char">
    <w:name w:val="Heading 6 Char"/>
    <w:basedOn w:val="DefaultParagraphFont"/>
    <w:link w:val="Heading6"/>
    <w:rsid w:val="00BC4790"/>
    <w:rPr>
      <w:rFonts w:ascii="Times New Roman" w:eastAsia="MS Mincho" w:hAnsi="Times New Roman" w:cs="Times New Roman"/>
      <w:b/>
      <w:bCs/>
      <w:lang w:eastAsia="ja-JP"/>
    </w:rPr>
  </w:style>
  <w:style w:type="character" w:customStyle="1" w:styleId="Heading7Char">
    <w:name w:val="Heading 7 Char"/>
    <w:basedOn w:val="DefaultParagraphFont"/>
    <w:link w:val="Heading7"/>
    <w:rsid w:val="00BC4790"/>
    <w:rPr>
      <w:rFonts w:ascii="Cambria" w:eastAsia="Times New Roman" w:hAnsi="Cambria" w:cs="Times New Roman"/>
      <w:b/>
      <w:bCs/>
      <w:i/>
      <w:iCs/>
      <w:sz w:val="20"/>
      <w:szCs w:val="20"/>
      <w:lang w:val="en-US" w:bidi="en-US"/>
    </w:rPr>
  </w:style>
  <w:style w:type="character" w:customStyle="1" w:styleId="Heading8Char">
    <w:name w:val="Heading 8 Char"/>
    <w:aliases w:val="figure Char"/>
    <w:basedOn w:val="DefaultParagraphFont"/>
    <w:link w:val="Heading8"/>
    <w:rsid w:val="00BC4790"/>
    <w:rPr>
      <w:rFonts w:ascii="Cambria" w:eastAsia="Times New Roman" w:hAnsi="Cambria" w:cs="Times New Roman"/>
      <w:b/>
      <w:bCs/>
      <w:i/>
      <w:iCs/>
      <w:sz w:val="18"/>
      <w:szCs w:val="18"/>
      <w:lang w:val="en-US" w:bidi="en-US"/>
    </w:rPr>
  </w:style>
  <w:style w:type="character" w:customStyle="1" w:styleId="Heading9Char">
    <w:name w:val="Heading 9 Char"/>
    <w:aliases w:val="table Char"/>
    <w:basedOn w:val="DefaultParagraphFont"/>
    <w:link w:val="Heading9"/>
    <w:rsid w:val="00BC4790"/>
    <w:rPr>
      <w:rFonts w:ascii="Cambria" w:eastAsia="Times New Roman" w:hAnsi="Cambria" w:cs="Times New Roman"/>
      <w:i/>
      <w:iCs/>
      <w:sz w:val="18"/>
      <w:szCs w:val="18"/>
      <w:lang w:val="en-US" w:bidi="en-US"/>
    </w:rPr>
  </w:style>
  <w:style w:type="paragraph" w:customStyle="1" w:styleId="paragraph">
    <w:name w:val="paragraph"/>
    <w:basedOn w:val="Normal"/>
    <w:rsid w:val="00BC47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nhideWhenUsed/>
    <w:rsid w:val="00BC4790"/>
    <w:pPr>
      <w:spacing w:after="0" w:line="240" w:lineRule="auto"/>
    </w:pPr>
    <w:rPr>
      <w:rFonts w:ascii="Times New Roman" w:eastAsia="Calibri" w:hAnsi="Times New Roman" w:cs="Times New Roman"/>
      <w:sz w:val="20"/>
      <w:szCs w:val="20"/>
      <w:lang w:val="nb-NO" w:eastAsia="nb-NO"/>
    </w:rPr>
  </w:style>
  <w:style w:type="character" w:customStyle="1" w:styleId="FootnoteTextChar">
    <w:name w:val="Footnote Text Char"/>
    <w:basedOn w:val="DefaultParagraphFont"/>
    <w:link w:val="FootnoteText"/>
    <w:rsid w:val="00BC4790"/>
    <w:rPr>
      <w:rFonts w:ascii="Times New Roman" w:eastAsia="Calibri" w:hAnsi="Times New Roman" w:cs="Times New Roman"/>
      <w:sz w:val="20"/>
      <w:szCs w:val="20"/>
      <w:lang w:val="nb-NO" w:eastAsia="nb-NO"/>
    </w:rPr>
  </w:style>
  <w:style w:type="character" w:styleId="FootnoteReference">
    <w:name w:val="footnote reference"/>
    <w:unhideWhenUsed/>
    <w:rsid w:val="00BC4790"/>
    <w:rPr>
      <w:vertAlign w:val="superscript"/>
    </w:rPr>
  </w:style>
  <w:style w:type="paragraph" w:customStyle="1" w:styleId="Para3i">
    <w:name w:val="Para 3i"/>
    <w:basedOn w:val="Para3"/>
    <w:qFormat/>
    <w:rsid w:val="007425EF"/>
    <w:pPr>
      <w:spacing w:after="120"/>
      <w:ind w:left="1559" w:hanging="425"/>
    </w:pPr>
    <w:rPr>
      <w:rFonts w:eastAsia="MS Mincho" w:cs="Arial"/>
      <w:bCs w:val="0"/>
      <w:szCs w:val="18"/>
    </w:rPr>
  </w:style>
  <w:style w:type="character" w:styleId="UnresolvedMention">
    <w:name w:val="Unresolved Mention"/>
    <w:basedOn w:val="DefaultParagraphFont"/>
    <w:uiPriority w:val="99"/>
    <w:semiHidden/>
    <w:unhideWhenUsed/>
    <w:rsid w:val="009030A4"/>
    <w:rPr>
      <w:color w:val="605E5C"/>
      <w:shd w:val="clear" w:color="auto" w:fill="E1DFDD"/>
    </w:rPr>
  </w:style>
  <w:style w:type="table" w:styleId="LightShading-Accent1">
    <w:name w:val="Light Shading Accent 1"/>
    <w:basedOn w:val="TableNormal"/>
    <w:uiPriority w:val="60"/>
    <w:rsid w:val="007C546D"/>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cf01">
    <w:name w:val="cf01"/>
    <w:basedOn w:val="DefaultParagraphFont"/>
    <w:rsid w:val="007735AB"/>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76A5A"/>
    <w:pPr>
      <w:widowControl/>
      <w:spacing w:after="160"/>
    </w:pPr>
    <w:rPr>
      <w:rFonts w:ascii="Söhne" w:eastAsiaTheme="minorHAnsi" w:hAnsi="Söhne" w:cstheme="minorBidi"/>
      <w:b/>
      <w:bCs/>
      <w:lang w:val="fr-FR"/>
    </w:rPr>
  </w:style>
  <w:style w:type="character" w:customStyle="1" w:styleId="CommentSubjectChar">
    <w:name w:val="Comment Subject Char"/>
    <w:basedOn w:val="CommentTextChar"/>
    <w:link w:val="CommentSubject"/>
    <w:uiPriority w:val="99"/>
    <w:semiHidden/>
    <w:rsid w:val="00076A5A"/>
    <w:rPr>
      <w:rFonts w:ascii="Söhne" w:eastAsia="Calibri" w:hAnsi="Söhne" w:cs="Times New Roman"/>
      <w:b/>
      <w:bCs/>
      <w:sz w:val="20"/>
      <w:szCs w:val="20"/>
      <w:lang w:val="en-US"/>
    </w:rPr>
  </w:style>
  <w:style w:type="table" w:styleId="TableGrid">
    <w:name w:val="Table Grid"/>
    <w:basedOn w:val="TableNormal"/>
    <w:uiPriority w:val="59"/>
    <w:rsid w:val="00F8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343F"/>
    <w:pPr>
      <w:spacing w:after="0" w:line="240" w:lineRule="auto"/>
    </w:pPr>
    <w:rPr>
      <w:rFonts w:ascii="Söhne" w:hAnsi="Söhne"/>
      <w:sz w:val="18"/>
    </w:rPr>
  </w:style>
  <w:style w:type="character" w:styleId="Mention">
    <w:name w:val="Mention"/>
    <w:basedOn w:val="DefaultParagraphFont"/>
    <w:uiPriority w:val="99"/>
    <w:unhideWhenUsed/>
    <w:rsid w:val="000654A0"/>
    <w:rPr>
      <w:color w:val="2B579A"/>
      <w:shd w:val="clear" w:color="auto" w:fill="E1DFDD"/>
    </w:rPr>
  </w:style>
  <w:style w:type="character" w:customStyle="1" w:styleId="ReflabnoteCar">
    <w:name w:val="Ref_lab_note Car"/>
    <w:link w:val="Reflabnote"/>
    <w:locked/>
    <w:rsid w:val="00A87822"/>
    <w:rPr>
      <w:rFonts w:ascii="Arial" w:hAnsi="Arial" w:cs="Arial"/>
      <w:sz w:val="18"/>
      <w:szCs w:val="18"/>
      <w:lang w:eastAsia="fr-FR"/>
    </w:rPr>
  </w:style>
  <w:style w:type="paragraph" w:customStyle="1" w:styleId="Reflabnote">
    <w:name w:val="Ref_lab_note"/>
    <w:basedOn w:val="Normal"/>
    <w:link w:val="ReflabnoteCar"/>
    <w:rsid w:val="00A87822"/>
    <w:pPr>
      <w:spacing w:before="120" w:after="120" w:line="240" w:lineRule="auto"/>
      <w:jc w:val="center"/>
    </w:pPr>
    <w:rPr>
      <w:rFonts w:ascii="Arial" w:hAnsi="Arial" w:cs="Arial"/>
      <w:szCs w:val="18"/>
      <w:lang w:eastAsia="fr-FR"/>
    </w:rPr>
  </w:style>
  <w:style w:type="paragraph" w:customStyle="1" w:styleId="REF">
    <w:name w:val="REF"/>
    <w:basedOn w:val="Para1"/>
    <w:rsid w:val="009A34D5"/>
    <w:pPr>
      <w:ind w:left="425" w:hanging="425"/>
    </w:pPr>
    <w:rPr>
      <w:rFonts w:ascii="Arial" w:hAnsi="Arial"/>
    </w:rPr>
  </w:style>
  <w:style w:type="paragraph" w:customStyle="1" w:styleId="AnnexHeader">
    <w:name w:val="Annex Header"/>
    <w:basedOn w:val="Normal"/>
    <w:qFormat/>
    <w:rsid w:val="00C12C63"/>
    <w:pPr>
      <w:keepNext/>
      <w:keepLines/>
      <w:spacing w:before="240" w:after="480" w:line="240" w:lineRule="auto"/>
      <w:jc w:val="center"/>
      <w:outlineLvl w:val="0"/>
    </w:pPr>
    <w:rPr>
      <w:rFonts w:ascii="Arial" w:eastAsia="Yu Gothic Light" w:hAnsi="Arial" w:cs="Arial"/>
      <w:b/>
      <w:bCs/>
      <w:iCs/>
      <w:sz w:val="20"/>
      <w:szCs w:val="20"/>
      <w:lang w:val="en-GB"/>
    </w:rPr>
  </w:style>
  <w:style w:type="table" w:customStyle="1" w:styleId="TableGrid3">
    <w:name w:val="Table Grid3"/>
    <w:basedOn w:val="TableNormal"/>
    <w:next w:val="TableGrid"/>
    <w:uiPriority w:val="39"/>
    <w:rsid w:val="00182C38"/>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7AAE"/>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5629">
      <w:bodyDiv w:val="1"/>
      <w:marLeft w:val="0"/>
      <w:marRight w:val="0"/>
      <w:marTop w:val="0"/>
      <w:marBottom w:val="0"/>
      <w:divBdr>
        <w:top w:val="none" w:sz="0" w:space="0" w:color="auto"/>
        <w:left w:val="none" w:sz="0" w:space="0" w:color="auto"/>
        <w:bottom w:val="none" w:sz="0" w:space="0" w:color="auto"/>
        <w:right w:val="none" w:sz="0" w:space="0" w:color="auto"/>
      </w:divBdr>
      <w:divsChild>
        <w:div w:id="23943775">
          <w:marLeft w:val="0"/>
          <w:marRight w:val="0"/>
          <w:marTop w:val="0"/>
          <w:marBottom w:val="0"/>
          <w:divBdr>
            <w:top w:val="none" w:sz="0" w:space="0" w:color="auto"/>
            <w:left w:val="none" w:sz="0" w:space="0" w:color="auto"/>
            <w:bottom w:val="none" w:sz="0" w:space="0" w:color="auto"/>
            <w:right w:val="none" w:sz="0" w:space="0" w:color="auto"/>
          </w:divBdr>
        </w:div>
        <w:div w:id="582451152">
          <w:marLeft w:val="0"/>
          <w:marRight w:val="0"/>
          <w:marTop w:val="0"/>
          <w:marBottom w:val="0"/>
          <w:divBdr>
            <w:top w:val="none" w:sz="0" w:space="0" w:color="auto"/>
            <w:left w:val="none" w:sz="0" w:space="0" w:color="auto"/>
            <w:bottom w:val="none" w:sz="0" w:space="0" w:color="auto"/>
            <w:right w:val="none" w:sz="0" w:space="0" w:color="auto"/>
          </w:divBdr>
        </w:div>
        <w:div w:id="17893805">
          <w:marLeft w:val="0"/>
          <w:marRight w:val="0"/>
          <w:marTop w:val="0"/>
          <w:marBottom w:val="0"/>
          <w:divBdr>
            <w:top w:val="none" w:sz="0" w:space="0" w:color="auto"/>
            <w:left w:val="none" w:sz="0" w:space="0" w:color="auto"/>
            <w:bottom w:val="none" w:sz="0" w:space="0" w:color="auto"/>
            <w:right w:val="none" w:sz="0" w:space="0" w:color="auto"/>
          </w:divBdr>
        </w:div>
        <w:div w:id="1043939151">
          <w:marLeft w:val="0"/>
          <w:marRight w:val="0"/>
          <w:marTop w:val="0"/>
          <w:marBottom w:val="0"/>
          <w:divBdr>
            <w:top w:val="none" w:sz="0" w:space="0" w:color="auto"/>
            <w:left w:val="none" w:sz="0" w:space="0" w:color="auto"/>
            <w:bottom w:val="none" w:sz="0" w:space="0" w:color="auto"/>
            <w:right w:val="none" w:sz="0" w:space="0" w:color="auto"/>
          </w:divBdr>
        </w:div>
        <w:div w:id="1400979985">
          <w:marLeft w:val="0"/>
          <w:marRight w:val="0"/>
          <w:marTop w:val="0"/>
          <w:marBottom w:val="0"/>
          <w:divBdr>
            <w:top w:val="none" w:sz="0" w:space="0" w:color="auto"/>
            <w:left w:val="none" w:sz="0" w:space="0" w:color="auto"/>
            <w:bottom w:val="none" w:sz="0" w:space="0" w:color="auto"/>
            <w:right w:val="none" w:sz="0" w:space="0" w:color="auto"/>
          </w:divBdr>
        </w:div>
        <w:div w:id="646855745">
          <w:marLeft w:val="0"/>
          <w:marRight w:val="0"/>
          <w:marTop w:val="0"/>
          <w:marBottom w:val="0"/>
          <w:divBdr>
            <w:top w:val="none" w:sz="0" w:space="0" w:color="auto"/>
            <w:left w:val="none" w:sz="0" w:space="0" w:color="auto"/>
            <w:bottom w:val="none" w:sz="0" w:space="0" w:color="auto"/>
            <w:right w:val="none" w:sz="0" w:space="0" w:color="auto"/>
          </w:divBdr>
        </w:div>
        <w:div w:id="909576397">
          <w:marLeft w:val="0"/>
          <w:marRight w:val="0"/>
          <w:marTop w:val="0"/>
          <w:marBottom w:val="0"/>
          <w:divBdr>
            <w:top w:val="none" w:sz="0" w:space="0" w:color="auto"/>
            <w:left w:val="none" w:sz="0" w:space="0" w:color="auto"/>
            <w:bottom w:val="none" w:sz="0" w:space="0" w:color="auto"/>
            <w:right w:val="none" w:sz="0" w:space="0" w:color="auto"/>
          </w:divBdr>
        </w:div>
        <w:div w:id="542640398">
          <w:marLeft w:val="0"/>
          <w:marRight w:val="0"/>
          <w:marTop w:val="0"/>
          <w:marBottom w:val="0"/>
          <w:divBdr>
            <w:top w:val="none" w:sz="0" w:space="0" w:color="auto"/>
            <w:left w:val="none" w:sz="0" w:space="0" w:color="auto"/>
            <w:bottom w:val="none" w:sz="0" w:space="0" w:color="auto"/>
            <w:right w:val="none" w:sz="0" w:space="0" w:color="auto"/>
          </w:divBdr>
        </w:div>
        <w:div w:id="1943485841">
          <w:marLeft w:val="0"/>
          <w:marRight w:val="0"/>
          <w:marTop w:val="0"/>
          <w:marBottom w:val="0"/>
          <w:divBdr>
            <w:top w:val="none" w:sz="0" w:space="0" w:color="auto"/>
            <w:left w:val="none" w:sz="0" w:space="0" w:color="auto"/>
            <w:bottom w:val="none" w:sz="0" w:space="0" w:color="auto"/>
            <w:right w:val="none" w:sz="0" w:space="0" w:color="auto"/>
          </w:divBdr>
        </w:div>
      </w:divsChild>
    </w:div>
    <w:div w:id="275018704">
      <w:bodyDiv w:val="1"/>
      <w:marLeft w:val="0"/>
      <w:marRight w:val="0"/>
      <w:marTop w:val="0"/>
      <w:marBottom w:val="0"/>
      <w:divBdr>
        <w:top w:val="none" w:sz="0" w:space="0" w:color="auto"/>
        <w:left w:val="none" w:sz="0" w:space="0" w:color="auto"/>
        <w:bottom w:val="none" w:sz="0" w:space="0" w:color="auto"/>
        <w:right w:val="none" w:sz="0" w:space="0" w:color="auto"/>
      </w:divBdr>
    </w:div>
    <w:div w:id="377584450">
      <w:bodyDiv w:val="1"/>
      <w:marLeft w:val="0"/>
      <w:marRight w:val="0"/>
      <w:marTop w:val="0"/>
      <w:marBottom w:val="0"/>
      <w:divBdr>
        <w:top w:val="none" w:sz="0" w:space="0" w:color="auto"/>
        <w:left w:val="none" w:sz="0" w:space="0" w:color="auto"/>
        <w:bottom w:val="none" w:sz="0" w:space="0" w:color="auto"/>
        <w:right w:val="none" w:sz="0" w:space="0" w:color="auto"/>
      </w:divBdr>
    </w:div>
    <w:div w:id="484276103">
      <w:bodyDiv w:val="1"/>
      <w:marLeft w:val="0"/>
      <w:marRight w:val="0"/>
      <w:marTop w:val="0"/>
      <w:marBottom w:val="0"/>
      <w:divBdr>
        <w:top w:val="none" w:sz="0" w:space="0" w:color="auto"/>
        <w:left w:val="none" w:sz="0" w:space="0" w:color="auto"/>
        <w:bottom w:val="none" w:sz="0" w:space="0" w:color="auto"/>
        <w:right w:val="none" w:sz="0" w:space="0" w:color="auto"/>
      </w:divBdr>
      <w:divsChild>
        <w:div w:id="1190414470">
          <w:marLeft w:val="0"/>
          <w:marRight w:val="0"/>
          <w:marTop w:val="0"/>
          <w:marBottom w:val="0"/>
          <w:divBdr>
            <w:top w:val="none" w:sz="0" w:space="0" w:color="auto"/>
            <w:left w:val="none" w:sz="0" w:space="0" w:color="auto"/>
            <w:bottom w:val="none" w:sz="0" w:space="0" w:color="auto"/>
            <w:right w:val="none" w:sz="0" w:space="0" w:color="auto"/>
          </w:divBdr>
        </w:div>
        <w:div w:id="1445811397">
          <w:marLeft w:val="0"/>
          <w:marRight w:val="0"/>
          <w:marTop w:val="0"/>
          <w:marBottom w:val="0"/>
          <w:divBdr>
            <w:top w:val="none" w:sz="0" w:space="0" w:color="auto"/>
            <w:left w:val="none" w:sz="0" w:space="0" w:color="auto"/>
            <w:bottom w:val="none" w:sz="0" w:space="0" w:color="auto"/>
            <w:right w:val="none" w:sz="0" w:space="0" w:color="auto"/>
          </w:divBdr>
        </w:div>
      </w:divsChild>
    </w:div>
    <w:div w:id="780419957">
      <w:bodyDiv w:val="1"/>
      <w:marLeft w:val="0"/>
      <w:marRight w:val="0"/>
      <w:marTop w:val="0"/>
      <w:marBottom w:val="0"/>
      <w:divBdr>
        <w:top w:val="none" w:sz="0" w:space="0" w:color="auto"/>
        <w:left w:val="none" w:sz="0" w:space="0" w:color="auto"/>
        <w:bottom w:val="none" w:sz="0" w:space="0" w:color="auto"/>
        <w:right w:val="none" w:sz="0" w:space="0" w:color="auto"/>
      </w:divBdr>
      <w:divsChild>
        <w:div w:id="242181051">
          <w:marLeft w:val="0"/>
          <w:marRight w:val="0"/>
          <w:marTop w:val="0"/>
          <w:marBottom w:val="0"/>
          <w:divBdr>
            <w:top w:val="none" w:sz="0" w:space="0" w:color="auto"/>
            <w:left w:val="none" w:sz="0" w:space="0" w:color="auto"/>
            <w:bottom w:val="none" w:sz="0" w:space="0" w:color="auto"/>
            <w:right w:val="none" w:sz="0" w:space="0" w:color="auto"/>
          </w:divBdr>
        </w:div>
        <w:div w:id="463935360">
          <w:marLeft w:val="0"/>
          <w:marRight w:val="0"/>
          <w:marTop w:val="0"/>
          <w:marBottom w:val="0"/>
          <w:divBdr>
            <w:top w:val="none" w:sz="0" w:space="0" w:color="auto"/>
            <w:left w:val="none" w:sz="0" w:space="0" w:color="auto"/>
            <w:bottom w:val="none" w:sz="0" w:space="0" w:color="auto"/>
            <w:right w:val="none" w:sz="0" w:space="0" w:color="auto"/>
          </w:divBdr>
        </w:div>
      </w:divsChild>
    </w:div>
    <w:div w:id="1181432277">
      <w:bodyDiv w:val="1"/>
      <w:marLeft w:val="0"/>
      <w:marRight w:val="0"/>
      <w:marTop w:val="0"/>
      <w:marBottom w:val="0"/>
      <w:divBdr>
        <w:top w:val="none" w:sz="0" w:space="0" w:color="auto"/>
        <w:left w:val="none" w:sz="0" w:space="0" w:color="auto"/>
        <w:bottom w:val="none" w:sz="0" w:space="0" w:color="auto"/>
        <w:right w:val="none" w:sz="0" w:space="0" w:color="auto"/>
      </w:divBdr>
      <w:divsChild>
        <w:div w:id="1361972234">
          <w:marLeft w:val="0"/>
          <w:marRight w:val="0"/>
          <w:marTop w:val="0"/>
          <w:marBottom w:val="0"/>
          <w:divBdr>
            <w:top w:val="none" w:sz="0" w:space="0" w:color="auto"/>
            <w:left w:val="none" w:sz="0" w:space="0" w:color="auto"/>
            <w:bottom w:val="none" w:sz="0" w:space="0" w:color="auto"/>
            <w:right w:val="none" w:sz="0" w:space="0" w:color="auto"/>
          </w:divBdr>
        </w:div>
        <w:div w:id="1869751746">
          <w:marLeft w:val="0"/>
          <w:marRight w:val="0"/>
          <w:marTop w:val="0"/>
          <w:marBottom w:val="0"/>
          <w:divBdr>
            <w:top w:val="none" w:sz="0" w:space="0" w:color="auto"/>
            <w:left w:val="none" w:sz="0" w:space="0" w:color="auto"/>
            <w:bottom w:val="none" w:sz="0" w:space="0" w:color="auto"/>
            <w:right w:val="none" w:sz="0" w:space="0" w:color="auto"/>
          </w:divBdr>
        </w:div>
        <w:div w:id="489178512">
          <w:marLeft w:val="0"/>
          <w:marRight w:val="0"/>
          <w:marTop w:val="0"/>
          <w:marBottom w:val="0"/>
          <w:divBdr>
            <w:top w:val="none" w:sz="0" w:space="0" w:color="auto"/>
            <w:left w:val="none" w:sz="0" w:space="0" w:color="auto"/>
            <w:bottom w:val="none" w:sz="0" w:space="0" w:color="auto"/>
            <w:right w:val="none" w:sz="0" w:space="0" w:color="auto"/>
          </w:divBdr>
        </w:div>
        <w:div w:id="1152793520">
          <w:marLeft w:val="0"/>
          <w:marRight w:val="0"/>
          <w:marTop w:val="0"/>
          <w:marBottom w:val="0"/>
          <w:divBdr>
            <w:top w:val="none" w:sz="0" w:space="0" w:color="auto"/>
            <w:left w:val="none" w:sz="0" w:space="0" w:color="auto"/>
            <w:bottom w:val="none" w:sz="0" w:space="0" w:color="auto"/>
            <w:right w:val="none" w:sz="0" w:space="0" w:color="auto"/>
          </w:divBdr>
        </w:div>
        <w:div w:id="1679697417">
          <w:marLeft w:val="0"/>
          <w:marRight w:val="0"/>
          <w:marTop w:val="0"/>
          <w:marBottom w:val="0"/>
          <w:divBdr>
            <w:top w:val="none" w:sz="0" w:space="0" w:color="auto"/>
            <w:left w:val="none" w:sz="0" w:space="0" w:color="auto"/>
            <w:bottom w:val="none" w:sz="0" w:space="0" w:color="auto"/>
            <w:right w:val="none" w:sz="0" w:space="0" w:color="auto"/>
          </w:divBdr>
        </w:div>
        <w:div w:id="1119376181">
          <w:marLeft w:val="0"/>
          <w:marRight w:val="0"/>
          <w:marTop w:val="0"/>
          <w:marBottom w:val="0"/>
          <w:divBdr>
            <w:top w:val="none" w:sz="0" w:space="0" w:color="auto"/>
            <w:left w:val="none" w:sz="0" w:space="0" w:color="auto"/>
            <w:bottom w:val="none" w:sz="0" w:space="0" w:color="auto"/>
            <w:right w:val="none" w:sz="0" w:space="0" w:color="auto"/>
          </w:divBdr>
        </w:div>
        <w:div w:id="933243728">
          <w:marLeft w:val="0"/>
          <w:marRight w:val="0"/>
          <w:marTop w:val="0"/>
          <w:marBottom w:val="0"/>
          <w:divBdr>
            <w:top w:val="none" w:sz="0" w:space="0" w:color="auto"/>
            <w:left w:val="none" w:sz="0" w:space="0" w:color="auto"/>
            <w:bottom w:val="none" w:sz="0" w:space="0" w:color="auto"/>
            <w:right w:val="none" w:sz="0" w:space="0" w:color="auto"/>
          </w:divBdr>
        </w:div>
        <w:div w:id="725909283">
          <w:marLeft w:val="0"/>
          <w:marRight w:val="0"/>
          <w:marTop w:val="0"/>
          <w:marBottom w:val="0"/>
          <w:divBdr>
            <w:top w:val="none" w:sz="0" w:space="0" w:color="auto"/>
            <w:left w:val="none" w:sz="0" w:space="0" w:color="auto"/>
            <w:bottom w:val="none" w:sz="0" w:space="0" w:color="auto"/>
            <w:right w:val="none" w:sz="0" w:space="0" w:color="auto"/>
          </w:divBdr>
        </w:div>
        <w:div w:id="357319123">
          <w:marLeft w:val="0"/>
          <w:marRight w:val="0"/>
          <w:marTop w:val="0"/>
          <w:marBottom w:val="0"/>
          <w:divBdr>
            <w:top w:val="none" w:sz="0" w:space="0" w:color="auto"/>
            <w:left w:val="none" w:sz="0" w:space="0" w:color="auto"/>
            <w:bottom w:val="none" w:sz="0" w:space="0" w:color="auto"/>
            <w:right w:val="none" w:sz="0" w:space="0" w:color="auto"/>
          </w:divBdr>
        </w:div>
      </w:divsChild>
    </w:div>
    <w:div w:id="1360281058">
      <w:bodyDiv w:val="1"/>
      <w:marLeft w:val="0"/>
      <w:marRight w:val="0"/>
      <w:marTop w:val="0"/>
      <w:marBottom w:val="0"/>
      <w:divBdr>
        <w:top w:val="none" w:sz="0" w:space="0" w:color="auto"/>
        <w:left w:val="none" w:sz="0" w:space="0" w:color="auto"/>
        <w:bottom w:val="none" w:sz="0" w:space="0" w:color="auto"/>
        <w:right w:val="none" w:sz="0" w:space="0" w:color="auto"/>
      </w:divBdr>
      <w:divsChild>
        <w:div w:id="1989506970">
          <w:marLeft w:val="0"/>
          <w:marRight w:val="0"/>
          <w:marTop w:val="0"/>
          <w:marBottom w:val="0"/>
          <w:divBdr>
            <w:top w:val="none" w:sz="0" w:space="0" w:color="auto"/>
            <w:left w:val="none" w:sz="0" w:space="0" w:color="auto"/>
            <w:bottom w:val="none" w:sz="0" w:space="0" w:color="auto"/>
            <w:right w:val="none" w:sz="0" w:space="0" w:color="auto"/>
          </w:divBdr>
        </w:div>
        <w:div w:id="149952618">
          <w:marLeft w:val="0"/>
          <w:marRight w:val="0"/>
          <w:marTop w:val="0"/>
          <w:marBottom w:val="0"/>
          <w:divBdr>
            <w:top w:val="none" w:sz="0" w:space="0" w:color="auto"/>
            <w:left w:val="none" w:sz="0" w:space="0" w:color="auto"/>
            <w:bottom w:val="none" w:sz="0" w:space="0" w:color="auto"/>
            <w:right w:val="none" w:sz="0" w:space="0" w:color="auto"/>
          </w:divBdr>
        </w:div>
        <w:div w:id="671176985">
          <w:marLeft w:val="0"/>
          <w:marRight w:val="0"/>
          <w:marTop w:val="0"/>
          <w:marBottom w:val="0"/>
          <w:divBdr>
            <w:top w:val="none" w:sz="0" w:space="0" w:color="auto"/>
            <w:left w:val="none" w:sz="0" w:space="0" w:color="auto"/>
            <w:bottom w:val="none" w:sz="0" w:space="0" w:color="auto"/>
            <w:right w:val="none" w:sz="0" w:space="0" w:color="auto"/>
          </w:divBdr>
        </w:div>
        <w:div w:id="942609548">
          <w:marLeft w:val="0"/>
          <w:marRight w:val="0"/>
          <w:marTop w:val="0"/>
          <w:marBottom w:val="0"/>
          <w:divBdr>
            <w:top w:val="none" w:sz="0" w:space="0" w:color="auto"/>
            <w:left w:val="none" w:sz="0" w:space="0" w:color="auto"/>
            <w:bottom w:val="none" w:sz="0" w:space="0" w:color="auto"/>
            <w:right w:val="none" w:sz="0" w:space="0" w:color="auto"/>
          </w:divBdr>
        </w:div>
        <w:div w:id="1088841407">
          <w:marLeft w:val="0"/>
          <w:marRight w:val="0"/>
          <w:marTop w:val="0"/>
          <w:marBottom w:val="0"/>
          <w:divBdr>
            <w:top w:val="none" w:sz="0" w:space="0" w:color="auto"/>
            <w:left w:val="none" w:sz="0" w:space="0" w:color="auto"/>
            <w:bottom w:val="none" w:sz="0" w:space="0" w:color="auto"/>
            <w:right w:val="none" w:sz="0" w:space="0" w:color="auto"/>
          </w:divBdr>
        </w:div>
        <w:div w:id="1137843633">
          <w:marLeft w:val="0"/>
          <w:marRight w:val="0"/>
          <w:marTop w:val="0"/>
          <w:marBottom w:val="0"/>
          <w:divBdr>
            <w:top w:val="none" w:sz="0" w:space="0" w:color="auto"/>
            <w:left w:val="none" w:sz="0" w:space="0" w:color="auto"/>
            <w:bottom w:val="none" w:sz="0" w:space="0" w:color="auto"/>
            <w:right w:val="none" w:sz="0" w:space="0" w:color="auto"/>
          </w:divBdr>
        </w:div>
        <w:div w:id="584414272">
          <w:marLeft w:val="0"/>
          <w:marRight w:val="0"/>
          <w:marTop w:val="0"/>
          <w:marBottom w:val="0"/>
          <w:divBdr>
            <w:top w:val="none" w:sz="0" w:space="0" w:color="auto"/>
            <w:left w:val="none" w:sz="0" w:space="0" w:color="auto"/>
            <w:bottom w:val="none" w:sz="0" w:space="0" w:color="auto"/>
            <w:right w:val="none" w:sz="0" w:space="0" w:color="auto"/>
          </w:divBdr>
        </w:div>
        <w:div w:id="1696927956">
          <w:marLeft w:val="0"/>
          <w:marRight w:val="0"/>
          <w:marTop w:val="0"/>
          <w:marBottom w:val="0"/>
          <w:divBdr>
            <w:top w:val="none" w:sz="0" w:space="0" w:color="auto"/>
            <w:left w:val="none" w:sz="0" w:space="0" w:color="auto"/>
            <w:bottom w:val="none" w:sz="0" w:space="0" w:color="auto"/>
            <w:right w:val="none" w:sz="0" w:space="0" w:color="auto"/>
          </w:divBdr>
        </w:div>
        <w:div w:id="887498246">
          <w:marLeft w:val="0"/>
          <w:marRight w:val="0"/>
          <w:marTop w:val="0"/>
          <w:marBottom w:val="0"/>
          <w:divBdr>
            <w:top w:val="none" w:sz="0" w:space="0" w:color="auto"/>
            <w:left w:val="none" w:sz="0" w:space="0" w:color="auto"/>
            <w:bottom w:val="none" w:sz="0" w:space="0" w:color="auto"/>
            <w:right w:val="none" w:sz="0" w:space="0" w:color="auto"/>
          </w:divBdr>
        </w:div>
      </w:divsChild>
    </w:div>
    <w:div w:id="1386417091">
      <w:bodyDiv w:val="1"/>
      <w:marLeft w:val="0"/>
      <w:marRight w:val="0"/>
      <w:marTop w:val="0"/>
      <w:marBottom w:val="0"/>
      <w:divBdr>
        <w:top w:val="none" w:sz="0" w:space="0" w:color="auto"/>
        <w:left w:val="none" w:sz="0" w:space="0" w:color="auto"/>
        <w:bottom w:val="none" w:sz="0" w:space="0" w:color="auto"/>
        <w:right w:val="none" w:sz="0" w:space="0" w:color="auto"/>
      </w:divBdr>
      <w:divsChild>
        <w:div w:id="348413217">
          <w:marLeft w:val="0"/>
          <w:marRight w:val="0"/>
          <w:marTop w:val="0"/>
          <w:marBottom w:val="0"/>
          <w:divBdr>
            <w:top w:val="none" w:sz="0" w:space="0" w:color="auto"/>
            <w:left w:val="none" w:sz="0" w:space="0" w:color="auto"/>
            <w:bottom w:val="none" w:sz="0" w:space="0" w:color="auto"/>
            <w:right w:val="none" w:sz="0" w:space="0" w:color="auto"/>
          </w:divBdr>
        </w:div>
        <w:div w:id="405691442">
          <w:marLeft w:val="0"/>
          <w:marRight w:val="0"/>
          <w:marTop w:val="0"/>
          <w:marBottom w:val="0"/>
          <w:divBdr>
            <w:top w:val="none" w:sz="0" w:space="0" w:color="auto"/>
            <w:left w:val="none" w:sz="0" w:space="0" w:color="auto"/>
            <w:bottom w:val="none" w:sz="0" w:space="0" w:color="auto"/>
            <w:right w:val="none" w:sz="0" w:space="0" w:color="auto"/>
          </w:divBdr>
          <w:divsChild>
            <w:div w:id="1775904294">
              <w:marLeft w:val="0"/>
              <w:marRight w:val="0"/>
              <w:marTop w:val="30"/>
              <w:marBottom w:val="30"/>
              <w:divBdr>
                <w:top w:val="none" w:sz="0" w:space="0" w:color="auto"/>
                <w:left w:val="none" w:sz="0" w:space="0" w:color="auto"/>
                <w:bottom w:val="none" w:sz="0" w:space="0" w:color="auto"/>
                <w:right w:val="none" w:sz="0" w:space="0" w:color="auto"/>
              </w:divBdr>
              <w:divsChild>
                <w:div w:id="73402514">
                  <w:marLeft w:val="0"/>
                  <w:marRight w:val="0"/>
                  <w:marTop w:val="0"/>
                  <w:marBottom w:val="0"/>
                  <w:divBdr>
                    <w:top w:val="none" w:sz="0" w:space="0" w:color="auto"/>
                    <w:left w:val="none" w:sz="0" w:space="0" w:color="auto"/>
                    <w:bottom w:val="none" w:sz="0" w:space="0" w:color="auto"/>
                    <w:right w:val="none" w:sz="0" w:space="0" w:color="auto"/>
                  </w:divBdr>
                  <w:divsChild>
                    <w:div w:id="2034571482">
                      <w:marLeft w:val="0"/>
                      <w:marRight w:val="0"/>
                      <w:marTop w:val="0"/>
                      <w:marBottom w:val="0"/>
                      <w:divBdr>
                        <w:top w:val="none" w:sz="0" w:space="0" w:color="auto"/>
                        <w:left w:val="none" w:sz="0" w:space="0" w:color="auto"/>
                        <w:bottom w:val="none" w:sz="0" w:space="0" w:color="auto"/>
                        <w:right w:val="none" w:sz="0" w:space="0" w:color="auto"/>
                      </w:divBdr>
                    </w:div>
                  </w:divsChild>
                </w:div>
                <w:div w:id="176359275">
                  <w:marLeft w:val="0"/>
                  <w:marRight w:val="0"/>
                  <w:marTop w:val="0"/>
                  <w:marBottom w:val="0"/>
                  <w:divBdr>
                    <w:top w:val="none" w:sz="0" w:space="0" w:color="auto"/>
                    <w:left w:val="none" w:sz="0" w:space="0" w:color="auto"/>
                    <w:bottom w:val="none" w:sz="0" w:space="0" w:color="auto"/>
                    <w:right w:val="none" w:sz="0" w:space="0" w:color="auto"/>
                  </w:divBdr>
                  <w:divsChild>
                    <w:div w:id="135803691">
                      <w:marLeft w:val="0"/>
                      <w:marRight w:val="0"/>
                      <w:marTop w:val="0"/>
                      <w:marBottom w:val="0"/>
                      <w:divBdr>
                        <w:top w:val="none" w:sz="0" w:space="0" w:color="auto"/>
                        <w:left w:val="none" w:sz="0" w:space="0" w:color="auto"/>
                        <w:bottom w:val="none" w:sz="0" w:space="0" w:color="auto"/>
                        <w:right w:val="none" w:sz="0" w:space="0" w:color="auto"/>
                      </w:divBdr>
                    </w:div>
                  </w:divsChild>
                </w:div>
                <w:div w:id="236868246">
                  <w:marLeft w:val="0"/>
                  <w:marRight w:val="0"/>
                  <w:marTop w:val="0"/>
                  <w:marBottom w:val="0"/>
                  <w:divBdr>
                    <w:top w:val="none" w:sz="0" w:space="0" w:color="auto"/>
                    <w:left w:val="none" w:sz="0" w:space="0" w:color="auto"/>
                    <w:bottom w:val="none" w:sz="0" w:space="0" w:color="auto"/>
                    <w:right w:val="none" w:sz="0" w:space="0" w:color="auto"/>
                  </w:divBdr>
                  <w:divsChild>
                    <w:div w:id="1147278301">
                      <w:marLeft w:val="0"/>
                      <w:marRight w:val="0"/>
                      <w:marTop w:val="0"/>
                      <w:marBottom w:val="0"/>
                      <w:divBdr>
                        <w:top w:val="none" w:sz="0" w:space="0" w:color="auto"/>
                        <w:left w:val="none" w:sz="0" w:space="0" w:color="auto"/>
                        <w:bottom w:val="none" w:sz="0" w:space="0" w:color="auto"/>
                        <w:right w:val="none" w:sz="0" w:space="0" w:color="auto"/>
                      </w:divBdr>
                    </w:div>
                  </w:divsChild>
                </w:div>
                <w:div w:id="302390449">
                  <w:marLeft w:val="0"/>
                  <w:marRight w:val="0"/>
                  <w:marTop w:val="0"/>
                  <w:marBottom w:val="0"/>
                  <w:divBdr>
                    <w:top w:val="none" w:sz="0" w:space="0" w:color="auto"/>
                    <w:left w:val="none" w:sz="0" w:space="0" w:color="auto"/>
                    <w:bottom w:val="none" w:sz="0" w:space="0" w:color="auto"/>
                    <w:right w:val="none" w:sz="0" w:space="0" w:color="auto"/>
                  </w:divBdr>
                  <w:divsChild>
                    <w:div w:id="537670210">
                      <w:marLeft w:val="0"/>
                      <w:marRight w:val="0"/>
                      <w:marTop w:val="0"/>
                      <w:marBottom w:val="0"/>
                      <w:divBdr>
                        <w:top w:val="none" w:sz="0" w:space="0" w:color="auto"/>
                        <w:left w:val="none" w:sz="0" w:space="0" w:color="auto"/>
                        <w:bottom w:val="none" w:sz="0" w:space="0" w:color="auto"/>
                        <w:right w:val="none" w:sz="0" w:space="0" w:color="auto"/>
                      </w:divBdr>
                    </w:div>
                  </w:divsChild>
                </w:div>
                <w:div w:id="317465488">
                  <w:marLeft w:val="0"/>
                  <w:marRight w:val="0"/>
                  <w:marTop w:val="0"/>
                  <w:marBottom w:val="0"/>
                  <w:divBdr>
                    <w:top w:val="none" w:sz="0" w:space="0" w:color="auto"/>
                    <w:left w:val="none" w:sz="0" w:space="0" w:color="auto"/>
                    <w:bottom w:val="none" w:sz="0" w:space="0" w:color="auto"/>
                    <w:right w:val="none" w:sz="0" w:space="0" w:color="auto"/>
                  </w:divBdr>
                  <w:divsChild>
                    <w:div w:id="615603947">
                      <w:marLeft w:val="0"/>
                      <w:marRight w:val="0"/>
                      <w:marTop w:val="0"/>
                      <w:marBottom w:val="0"/>
                      <w:divBdr>
                        <w:top w:val="none" w:sz="0" w:space="0" w:color="auto"/>
                        <w:left w:val="none" w:sz="0" w:space="0" w:color="auto"/>
                        <w:bottom w:val="none" w:sz="0" w:space="0" w:color="auto"/>
                        <w:right w:val="none" w:sz="0" w:space="0" w:color="auto"/>
                      </w:divBdr>
                    </w:div>
                  </w:divsChild>
                </w:div>
                <w:div w:id="430779002">
                  <w:marLeft w:val="0"/>
                  <w:marRight w:val="0"/>
                  <w:marTop w:val="0"/>
                  <w:marBottom w:val="0"/>
                  <w:divBdr>
                    <w:top w:val="none" w:sz="0" w:space="0" w:color="auto"/>
                    <w:left w:val="none" w:sz="0" w:space="0" w:color="auto"/>
                    <w:bottom w:val="none" w:sz="0" w:space="0" w:color="auto"/>
                    <w:right w:val="none" w:sz="0" w:space="0" w:color="auto"/>
                  </w:divBdr>
                  <w:divsChild>
                    <w:div w:id="427849270">
                      <w:marLeft w:val="0"/>
                      <w:marRight w:val="0"/>
                      <w:marTop w:val="0"/>
                      <w:marBottom w:val="0"/>
                      <w:divBdr>
                        <w:top w:val="none" w:sz="0" w:space="0" w:color="auto"/>
                        <w:left w:val="none" w:sz="0" w:space="0" w:color="auto"/>
                        <w:bottom w:val="none" w:sz="0" w:space="0" w:color="auto"/>
                        <w:right w:val="none" w:sz="0" w:space="0" w:color="auto"/>
                      </w:divBdr>
                    </w:div>
                  </w:divsChild>
                </w:div>
                <w:div w:id="687753426">
                  <w:marLeft w:val="0"/>
                  <w:marRight w:val="0"/>
                  <w:marTop w:val="0"/>
                  <w:marBottom w:val="0"/>
                  <w:divBdr>
                    <w:top w:val="none" w:sz="0" w:space="0" w:color="auto"/>
                    <w:left w:val="none" w:sz="0" w:space="0" w:color="auto"/>
                    <w:bottom w:val="none" w:sz="0" w:space="0" w:color="auto"/>
                    <w:right w:val="none" w:sz="0" w:space="0" w:color="auto"/>
                  </w:divBdr>
                  <w:divsChild>
                    <w:div w:id="1683969771">
                      <w:marLeft w:val="0"/>
                      <w:marRight w:val="0"/>
                      <w:marTop w:val="0"/>
                      <w:marBottom w:val="0"/>
                      <w:divBdr>
                        <w:top w:val="none" w:sz="0" w:space="0" w:color="auto"/>
                        <w:left w:val="none" w:sz="0" w:space="0" w:color="auto"/>
                        <w:bottom w:val="none" w:sz="0" w:space="0" w:color="auto"/>
                        <w:right w:val="none" w:sz="0" w:space="0" w:color="auto"/>
                      </w:divBdr>
                    </w:div>
                  </w:divsChild>
                </w:div>
                <w:div w:id="715931460">
                  <w:marLeft w:val="0"/>
                  <w:marRight w:val="0"/>
                  <w:marTop w:val="0"/>
                  <w:marBottom w:val="0"/>
                  <w:divBdr>
                    <w:top w:val="none" w:sz="0" w:space="0" w:color="auto"/>
                    <w:left w:val="none" w:sz="0" w:space="0" w:color="auto"/>
                    <w:bottom w:val="none" w:sz="0" w:space="0" w:color="auto"/>
                    <w:right w:val="none" w:sz="0" w:space="0" w:color="auto"/>
                  </w:divBdr>
                  <w:divsChild>
                    <w:div w:id="268585830">
                      <w:marLeft w:val="0"/>
                      <w:marRight w:val="0"/>
                      <w:marTop w:val="0"/>
                      <w:marBottom w:val="0"/>
                      <w:divBdr>
                        <w:top w:val="none" w:sz="0" w:space="0" w:color="auto"/>
                        <w:left w:val="none" w:sz="0" w:space="0" w:color="auto"/>
                        <w:bottom w:val="none" w:sz="0" w:space="0" w:color="auto"/>
                        <w:right w:val="none" w:sz="0" w:space="0" w:color="auto"/>
                      </w:divBdr>
                    </w:div>
                  </w:divsChild>
                </w:div>
                <w:div w:id="883715167">
                  <w:marLeft w:val="0"/>
                  <w:marRight w:val="0"/>
                  <w:marTop w:val="0"/>
                  <w:marBottom w:val="0"/>
                  <w:divBdr>
                    <w:top w:val="none" w:sz="0" w:space="0" w:color="auto"/>
                    <w:left w:val="none" w:sz="0" w:space="0" w:color="auto"/>
                    <w:bottom w:val="none" w:sz="0" w:space="0" w:color="auto"/>
                    <w:right w:val="none" w:sz="0" w:space="0" w:color="auto"/>
                  </w:divBdr>
                  <w:divsChild>
                    <w:div w:id="1245526468">
                      <w:marLeft w:val="0"/>
                      <w:marRight w:val="0"/>
                      <w:marTop w:val="0"/>
                      <w:marBottom w:val="0"/>
                      <w:divBdr>
                        <w:top w:val="none" w:sz="0" w:space="0" w:color="auto"/>
                        <w:left w:val="none" w:sz="0" w:space="0" w:color="auto"/>
                        <w:bottom w:val="none" w:sz="0" w:space="0" w:color="auto"/>
                        <w:right w:val="none" w:sz="0" w:space="0" w:color="auto"/>
                      </w:divBdr>
                    </w:div>
                  </w:divsChild>
                </w:div>
                <w:div w:id="930432130">
                  <w:marLeft w:val="0"/>
                  <w:marRight w:val="0"/>
                  <w:marTop w:val="0"/>
                  <w:marBottom w:val="0"/>
                  <w:divBdr>
                    <w:top w:val="none" w:sz="0" w:space="0" w:color="auto"/>
                    <w:left w:val="none" w:sz="0" w:space="0" w:color="auto"/>
                    <w:bottom w:val="none" w:sz="0" w:space="0" w:color="auto"/>
                    <w:right w:val="none" w:sz="0" w:space="0" w:color="auto"/>
                  </w:divBdr>
                  <w:divsChild>
                    <w:div w:id="1231312233">
                      <w:marLeft w:val="0"/>
                      <w:marRight w:val="0"/>
                      <w:marTop w:val="0"/>
                      <w:marBottom w:val="0"/>
                      <w:divBdr>
                        <w:top w:val="none" w:sz="0" w:space="0" w:color="auto"/>
                        <w:left w:val="none" w:sz="0" w:space="0" w:color="auto"/>
                        <w:bottom w:val="none" w:sz="0" w:space="0" w:color="auto"/>
                        <w:right w:val="none" w:sz="0" w:space="0" w:color="auto"/>
                      </w:divBdr>
                    </w:div>
                  </w:divsChild>
                </w:div>
                <w:div w:id="1113670627">
                  <w:marLeft w:val="0"/>
                  <w:marRight w:val="0"/>
                  <w:marTop w:val="0"/>
                  <w:marBottom w:val="0"/>
                  <w:divBdr>
                    <w:top w:val="none" w:sz="0" w:space="0" w:color="auto"/>
                    <w:left w:val="none" w:sz="0" w:space="0" w:color="auto"/>
                    <w:bottom w:val="none" w:sz="0" w:space="0" w:color="auto"/>
                    <w:right w:val="none" w:sz="0" w:space="0" w:color="auto"/>
                  </w:divBdr>
                  <w:divsChild>
                    <w:div w:id="682123216">
                      <w:marLeft w:val="0"/>
                      <w:marRight w:val="0"/>
                      <w:marTop w:val="0"/>
                      <w:marBottom w:val="0"/>
                      <w:divBdr>
                        <w:top w:val="none" w:sz="0" w:space="0" w:color="auto"/>
                        <w:left w:val="none" w:sz="0" w:space="0" w:color="auto"/>
                        <w:bottom w:val="none" w:sz="0" w:space="0" w:color="auto"/>
                        <w:right w:val="none" w:sz="0" w:space="0" w:color="auto"/>
                      </w:divBdr>
                    </w:div>
                  </w:divsChild>
                </w:div>
                <w:div w:id="1125004367">
                  <w:marLeft w:val="0"/>
                  <w:marRight w:val="0"/>
                  <w:marTop w:val="0"/>
                  <w:marBottom w:val="0"/>
                  <w:divBdr>
                    <w:top w:val="none" w:sz="0" w:space="0" w:color="auto"/>
                    <w:left w:val="none" w:sz="0" w:space="0" w:color="auto"/>
                    <w:bottom w:val="none" w:sz="0" w:space="0" w:color="auto"/>
                    <w:right w:val="none" w:sz="0" w:space="0" w:color="auto"/>
                  </w:divBdr>
                  <w:divsChild>
                    <w:div w:id="179123979">
                      <w:marLeft w:val="0"/>
                      <w:marRight w:val="0"/>
                      <w:marTop w:val="0"/>
                      <w:marBottom w:val="0"/>
                      <w:divBdr>
                        <w:top w:val="none" w:sz="0" w:space="0" w:color="auto"/>
                        <w:left w:val="none" w:sz="0" w:space="0" w:color="auto"/>
                        <w:bottom w:val="none" w:sz="0" w:space="0" w:color="auto"/>
                        <w:right w:val="none" w:sz="0" w:space="0" w:color="auto"/>
                      </w:divBdr>
                    </w:div>
                  </w:divsChild>
                </w:div>
                <w:div w:id="1204559334">
                  <w:marLeft w:val="0"/>
                  <w:marRight w:val="0"/>
                  <w:marTop w:val="0"/>
                  <w:marBottom w:val="0"/>
                  <w:divBdr>
                    <w:top w:val="none" w:sz="0" w:space="0" w:color="auto"/>
                    <w:left w:val="none" w:sz="0" w:space="0" w:color="auto"/>
                    <w:bottom w:val="none" w:sz="0" w:space="0" w:color="auto"/>
                    <w:right w:val="none" w:sz="0" w:space="0" w:color="auto"/>
                  </w:divBdr>
                  <w:divsChild>
                    <w:div w:id="87311720">
                      <w:marLeft w:val="0"/>
                      <w:marRight w:val="0"/>
                      <w:marTop w:val="0"/>
                      <w:marBottom w:val="0"/>
                      <w:divBdr>
                        <w:top w:val="none" w:sz="0" w:space="0" w:color="auto"/>
                        <w:left w:val="none" w:sz="0" w:space="0" w:color="auto"/>
                        <w:bottom w:val="none" w:sz="0" w:space="0" w:color="auto"/>
                        <w:right w:val="none" w:sz="0" w:space="0" w:color="auto"/>
                      </w:divBdr>
                    </w:div>
                  </w:divsChild>
                </w:div>
                <w:div w:id="1208638621">
                  <w:marLeft w:val="0"/>
                  <w:marRight w:val="0"/>
                  <w:marTop w:val="0"/>
                  <w:marBottom w:val="0"/>
                  <w:divBdr>
                    <w:top w:val="none" w:sz="0" w:space="0" w:color="auto"/>
                    <w:left w:val="none" w:sz="0" w:space="0" w:color="auto"/>
                    <w:bottom w:val="none" w:sz="0" w:space="0" w:color="auto"/>
                    <w:right w:val="none" w:sz="0" w:space="0" w:color="auto"/>
                  </w:divBdr>
                  <w:divsChild>
                    <w:div w:id="833447098">
                      <w:marLeft w:val="0"/>
                      <w:marRight w:val="0"/>
                      <w:marTop w:val="0"/>
                      <w:marBottom w:val="0"/>
                      <w:divBdr>
                        <w:top w:val="none" w:sz="0" w:space="0" w:color="auto"/>
                        <w:left w:val="none" w:sz="0" w:space="0" w:color="auto"/>
                        <w:bottom w:val="none" w:sz="0" w:space="0" w:color="auto"/>
                        <w:right w:val="none" w:sz="0" w:space="0" w:color="auto"/>
                      </w:divBdr>
                    </w:div>
                  </w:divsChild>
                </w:div>
                <w:div w:id="1304583945">
                  <w:marLeft w:val="0"/>
                  <w:marRight w:val="0"/>
                  <w:marTop w:val="0"/>
                  <w:marBottom w:val="0"/>
                  <w:divBdr>
                    <w:top w:val="none" w:sz="0" w:space="0" w:color="auto"/>
                    <w:left w:val="none" w:sz="0" w:space="0" w:color="auto"/>
                    <w:bottom w:val="none" w:sz="0" w:space="0" w:color="auto"/>
                    <w:right w:val="none" w:sz="0" w:space="0" w:color="auto"/>
                  </w:divBdr>
                  <w:divsChild>
                    <w:div w:id="1322349421">
                      <w:marLeft w:val="0"/>
                      <w:marRight w:val="0"/>
                      <w:marTop w:val="0"/>
                      <w:marBottom w:val="0"/>
                      <w:divBdr>
                        <w:top w:val="none" w:sz="0" w:space="0" w:color="auto"/>
                        <w:left w:val="none" w:sz="0" w:space="0" w:color="auto"/>
                        <w:bottom w:val="none" w:sz="0" w:space="0" w:color="auto"/>
                        <w:right w:val="none" w:sz="0" w:space="0" w:color="auto"/>
                      </w:divBdr>
                    </w:div>
                  </w:divsChild>
                </w:div>
                <w:div w:id="1403798537">
                  <w:marLeft w:val="0"/>
                  <w:marRight w:val="0"/>
                  <w:marTop w:val="0"/>
                  <w:marBottom w:val="0"/>
                  <w:divBdr>
                    <w:top w:val="none" w:sz="0" w:space="0" w:color="auto"/>
                    <w:left w:val="none" w:sz="0" w:space="0" w:color="auto"/>
                    <w:bottom w:val="none" w:sz="0" w:space="0" w:color="auto"/>
                    <w:right w:val="none" w:sz="0" w:space="0" w:color="auto"/>
                  </w:divBdr>
                  <w:divsChild>
                    <w:div w:id="1082527854">
                      <w:marLeft w:val="0"/>
                      <w:marRight w:val="0"/>
                      <w:marTop w:val="0"/>
                      <w:marBottom w:val="0"/>
                      <w:divBdr>
                        <w:top w:val="none" w:sz="0" w:space="0" w:color="auto"/>
                        <w:left w:val="none" w:sz="0" w:space="0" w:color="auto"/>
                        <w:bottom w:val="none" w:sz="0" w:space="0" w:color="auto"/>
                        <w:right w:val="none" w:sz="0" w:space="0" w:color="auto"/>
                      </w:divBdr>
                    </w:div>
                  </w:divsChild>
                </w:div>
                <w:div w:id="1454056294">
                  <w:marLeft w:val="0"/>
                  <w:marRight w:val="0"/>
                  <w:marTop w:val="0"/>
                  <w:marBottom w:val="0"/>
                  <w:divBdr>
                    <w:top w:val="none" w:sz="0" w:space="0" w:color="auto"/>
                    <w:left w:val="none" w:sz="0" w:space="0" w:color="auto"/>
                    <w:bottom w:val="none" w:sz="0" w:space="0" w:color="auto"/>
                    <w:right w:val="none" w:sz="0" w:space="0" w:color="auto"/>
                  </w:divBdr>
                  <w:divsChild>
                    <w:div w:id="1306086955">
                      <w:marLeft w:val="0"/>
                      <w:marRight w:val="0"/>
                      <w:marTop w:val="0"/>
                      <w:marBottom w:val="0"/>
                      <w:divBdr>
                        <w:top w:val="none" w:sz="0" w:space="0" w:color="auto"/>
                        <w:left w:val="none" w:sz="0" w:space="0" w:color="auto"/>
                        <w:bottom w:val="none" w:sz="0" w:space="0" w:color="auto"/>
                        <w:right w:val="none" w:sz="0" w:space="0" w:color="auto"/>
                      </w:divBdr>
                    </w:div>
                  </w:divsChild>
                </w:div>
                <w:div w:id="1622419515">
                  <w:marLeft w:val="0"/>
                  <w:marRight w:val="0"/>
                  <w:marTop w:val="0"/>
                  <w:marBottom w:val="0"/>
                  <w:divBdr>
                    <w:top w:val="none" w:sz="0" w:space="0" w:color="auto"/>
                    <w:left w:val="none" w:sz="0" w:space="0" w:color="auto"/>
                    <w:bottom w:val="none" w:sz="0" w:space="0" w:color="auto"/>
                    <w:right w:val="none" w:sz="0" w:space="0" w:color="auto"/>
                  </w:divBdr>
                  <w:divsChild>
                    <w:div w:id="1504273441">
                      <w:marLeft w:val="0"/>
                      <w:marRight w:val="0"/>
                      <w:marTop w:val="0"/>
                      <w:marBottom w:val="0"/>
                      <w:divBdr>
                        <w:top w:val="none" w:sz="0" w:space="0" w:color="auto"/>
                        <w:left w:val="none" w:sz="0" w:space="0" w:color="auto"/>
                        <w:bottom w:val="none" w:sz="0" w:space="0" w:color="auto"/>
                        <w:right w:val="none" w:sz="0" w:space="0" w:color="auto"/>
                      </w:divBdr>
                    </w:div>
                  </w:divsChild>
                </w:div>
                <w:div w:id="1649363235">
                  <w:marLeft w:val="0"/>
                  <w:marRight w:val="0"/>
                  <w:marTop w:val="0"/>
                  <w:marBottom w:val="0"/>
                  <w:divBdr>
                    <w:top w:val="none" w:sz="0" w:space="0" w:color="auto"/>
                    <w:left w:val="none" w:sz="0" w:space="0" w:color="auto"/>
                    <w:bottom w:val="none" w:sz="0" w:space="0" w:color="auto"/>
                    <w:right w:val="none" w:sz="0" w:space="0" w:color="auto"/>
                  </w:divBdr>
                  <w:divsChild>
                    <w:div w:id="2126390130">
                      <w:marLeft w:val="0"/>
                      <w:marRight w:val="0"/>
                      <w:marTop w:val="0"/>
                      <w:marBottom w:val="0"/>
                      <w:divBdr>
                        <w:top w:val="none" w:sz="0" w:space="0" w:color="auto"/>
                        <w:left w:val="none" w:sz="0" w:space="0" w:color="auto"/>
                        <w:bottom w:val="none" w:sz="0" w:space="0" w:color="auto"/>
                        <w:right w:val="none" w:sz="0" w:space="0" w:color="auto"/>
                      </w:divBdr>
                    </w:div>
                  </w:divsChild>
                </w:div>
                <w:div w:id="1798447131">
                  <w:marLeft w:val="0"/>
                  <w:marRight w:val="0"/>
                  <w:marTop w:val="0"/>
                  <w:marBottom w:val="0"/>
                  <w:divBdr>
                    <w:top w:val="none" w:sz="0" w:space="0" w:color="auto"/>
                    <w:left w:val="none" w:sz="0" w:space="0" w:color="auto"/>
                    <w:bottom w:val="none" w:sz="0" w:space="0" w:color="auto"/>
                    <w:right w:val="none" w:sz="0" w:space="0" w:color="auto"/>
                  </w:divBdr>
                  <w:divsChild>
                    <w:div w:id="1017540238">
                      <w:marLeft w:val="0"/>
                      <w:marRight w:val="0"/>
                      <w:marTop w:val="0"/>
                      <w:marBottom w:val="0"/>
                      <w:divBdr>
                        <w:top w:val="none" w:sz="0" w:space="0" w:color="auto"/>
                        <w:left w:val="none" w:sz="0" w:space="0" w:color="auto"/>
                        <w:bottom w:val="none" w:sz="0" w:space="0" w:color="auto"/>
                        <w:right w:val="none" w:sz="0" w:space="0" w:color="auto"/>
                      </w:divBdr>
                    </w:div>
                  </w:divsChild>
                </w:div>
                <w:div w:id="1953122727">
                  <w:marLeft w:val="0"/>
                  <w:marRight w:val="0"/>
                  <w:marTop w:val="0"/>
                  <w:marBottom w:val="0"/>
                  <w:divBdr>
                    <w:top w:val="none" w:sz="0" w:space="0" w:color="auto"/>
                    <w:left w:val="none" w:sz="0" w:space="0" w:color="auto"/>
                    <w:bottom w:val="none" w:sz="0" w:space="0" w:color="auto"/>
                    <w:right w:val="none" w:sz="0" w:space="0" w:color="auto"/>
                  </w:divBdr>
                  <w:divsChild>
                    <w:div w:id="1354768683">
                      <w:marLeft w:val="0"/>
                      <w:marRight w:val="0"/>
                      <w:marTop w:val="0"/>
                      <w:marBottom w:val="0"/>
                      <w:divBdr>
                        <w:top w:val="none" w:sz="0" w:space="0" w:color="auto"/>
                        <w:left w:val="none" w:sz="0" w:space="0" w:color="auto"/>
                        <w:bottom w:val="none" w:sz="0" w:space="0" w:color="auto"/>
                        <w:right w:val="none" w:sz="0" w:space="0" w:color="auto"/>
                      </w:divBdr>
                    </w:div>
                  </w:divsChild>
                </w:div>
                <w:div w:id="2000303713">
                  <w:marLeft w:val="0"/>
                  <w:marRight w:val="0"/>
                  <w:marTop w:val="0"/>
                  <w:marBottom w:val="0"/>
                  <w:divBdr>
                    <w:top w:val="none" w:sz="0" w:space="0" w:color="auto"/>
                    <w:left w:val="none" w:sz="0" w:space="0" w:color="auto"/>
                    <w:bottom w:val="none" w:sz="0" w:space="0" w:color="auto"/>
                    <w:right w:val="none" w:sz="0" w:space="0" w:color="auto"/>
                  </w:divBdr>
                  <w:divsChild>
                    <w:div w:id="1695955965">
                      <w:marLeft w:val="0"/>
                      <w:marRight w:val="0"/>
                      <w:marTop w:val="0"/>
                      <w:marBottom w:val="0"/>
                      <w:divBdr>
                        <w:top w:val="none" w:sz="0" w:space="0" w:color="auto"/>
                        <w:left w:val="none" w:sz="0" w:space="0" w:color="auto"/>
                        <w:bottom w:val="none" w:sz="0" w:space="0" w:color="auto"/>
                        <w:right w:val="none" w:sz="0" w:space="0" w:color="auto"/>
                      </w:divBdr>
                    </w:div>
                  </w:divsChild>
                </w:div>
                <w:div w:id="2058697911">
                  <w:marLeft w:val="0"/>
                  <w:marRight w:val="0"/>
                  <w:marTop w:val="0"/>
                  <w:marBottom w:val="0"/>
                  <w:divBdr>
                    <w:top w:val="none" w:sz="0" w:space="0" w:color="auto"/>
                    <w:left w:val="none" w:sz="0" w:space="0" w:color="auto"/>
                    <w:bottom w:val="none" w:sz="0" w:space="0" w:color="auto"/>
                    <w:right w:val="none" w:sz="0" w:space="0" w:color="auto"/>
                  </w:divBdr>
                  <w:divsChild>
                    <w:div w:id="154809494">
                      <w:marLeft w:val="0"/>
                      <w:marRight w:val="0"/>
                      <w:marTop w:val="0"/>
                      <w:marBottom w:val="0"/>
                      <w:divBdr>
                        <w:top w:val="none" w:sz="0" w:space="0" w:color="auto"/>
                        <w:left w:val="none" w:sz="0" w:space="0" w:color="auto"/>
                        <w:bottom w:val="none" w:sz="0" w:space="0" w:color="auto"/>
                        <w:right w:val="none" w:sz="0" w:space="0" w:color="auto"/>
                      </w:divBdr>
                    </w:div>
                  </w:divsChild>
                </w:div>
                <w:div w:id="2131892289">
                  <w:marLeft w:val="0"/>
                  <w:marRight w:val="0"/>
                  <w:marTop w:val="0"/>
                  <w:marBottom w:val="0"/>
                  <w:divBdr>
                    <w:top w:val="none" w:sz="0" w:space="0" w:color="auto"/>
                    <w:left w:val="none" w:sz="0" w:space="0" w:color="auto"/>
                    <w:bottom w:val="none" w:sz="0" w:space="0" w:color="auto"/>
                    <w:right w:val="none" w:sz="0" w:space="0" w:color="auto"/>
                  </w:divBdr>
                  <w:divsChild>
                    <w:div w:id="5726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9379">
      <w:bodyDiv w:val="1"/>
      <w:marLeft w:val="0"/>
      <w:marRight w:val="0"/>
      <w:marTop w:val="0"/>
      <w:marBottom w:val="0"/>
      <w:divBdr>
        <w:top w:val="none" w:sz="0" w:space="0" w:color="auto"/>
        <w:left w:val="none" w:sz="0" w:space="0" w:color="auto"/>
        <w:bottom w:val="none" w:sz="0" w:space="0" w:color="auto"/>
        <w:right w:val="none" w:sz="0" w:space="0" w:color="auto"/>
      </w:divBdr>
    </w:div>
    <w:div w:id="1697462959">
      <w:bodyDiv w:val="1"/>
      <w:marLeft w:val="0"/>
      <w:marRight w:val="0"/>
      <w:marTop w:val="0"/>
      <w:marBottom w:val="0"/>
      <w:divBdr>
        <w:top w:val="none" w:sz="0" w:space="0" w:color="auto"/>
        <w:left w:val="none" w:sz="0" w:space="0" w:color="auto"/>
        <w:bottom w:val="none" w:sz="0" w:space="0" w:color="auto"/>
        <w:right w:val="none" w:sz="0" w:space="0" w:color="auto"/>
      </w:divBdr>
    </w:div>
    <w:div w:id="1823617330">
      <w:bodyDiv w:val="1"/>
      <w:marLeft w:val="0"/>
      <w:marRight w:val="0"/>
      <w:marTop w:val="0"/>
      <w:marBottom w:val="0"/>
      <w:divBdr>
        <w:top w:val="none" w:sz="0" w:space="0" w:color="auto"/>
        <w:left w:val="none" w:sz="0" w:space="0" w:color="auto"/>
        <w:bottom w:val="none" w:sz="0" w:space="0" w:color="auto"/>
        <w:right w:val="none" w:sz="0" w:space="0" w:color="auto"/>
      </w:divBdr>
      <w:divsChild>
        <w:div w:id="922568455">
          <w:marLeft w:val="0"/>
          <w:marRight w:val="0"/>
          <w:marTop w:val="0"/>
          <w:marBottom w:val="0"/>
          <w:divBdr>
            <w:top w:val="none" w:sz="0" w:space="0" w:color="auto"/>
            <w:left w:val="none" w:sz="0" w:space="0" w:color="auto"/>
            <w:bottom w:val="none" w:sz="0" w:space="0" w:color="auto"/>
            <w:right w:val="none" w:sz="0" w:space="0" w:color="auto"/>
          </w:divBdr>
        </w:div>
        <w:div w:id="37977552">
          <w:marLeft w:val="0"/>
          <w:marRight w:val="0"/>
          <w:marTop w:val="0"/>
          <w:marBottom w:val="0"/>
          <w:divBdr>
            <w:top w:val="none" w:sz="0" w:space="0" w:color="auto"/>
            <w:left w:val="none" w:sz="0" w:space="0" w:color="auto"/>
            <w:bottom w:val="none" w:sz="0" w:space="0" w:color="auto"/>
            <w:right w:val="none" w:sz="0" w:space="0" w:color="auto"/>
          </w:divBdr>
        </w:div>
        <w:div w:id="1379234627">
          <w:marLeft w:val="0"/>
          <w:marRight w:val="0"/>
          <w:marTop w:val="0"/>
          <w:marBottom w:val="0"/>
          <w:divBdr>
            <w:top w:val="none" w:sz="0" w:space="0" w:color="auto"/>
            <w:left w:val="none" w:sz="0" w:space="0" w:color="auto"/>
            <w:bottom w:val="none" w:sz="0" w:space="0" w:color="auto"/>
            <w:right w:val="none" w:sz="0" w:space="0" w:color="auto"/>
          </w:divBdr>
        </w:div>
        <w:div w:id="2050565453">
          <w:marLeft w:val="0"/>
          <w:marRight w:val="0"/>
          <w:marTop w:val="0"/>
          <w:marBottom w:val="0"/>
          <w:divBdr>
            <w:top w:val="none" w:sz="0" w:space="0" w:color="auto"/>
            <w:left w:val="none" w:sz="0" w:space="0" w:color="auto"/>
            <w:bottom w:val="none" w:sz="0" w:space="0" w:color="auto"/>
            <w:right w:val="none" w:sz="0" w:space="0" w:color="auto"/>
          </w:divBdr>
        </w:div>
        <w:div w:id="9112168">
          <w:marLeft w:val="0"/>
          <w:marRight w:val="0"/>
          <w:marTop w:val="0"/>
          <w:marBottom w:val="0"/>
          <w:divBdr>
            <w:top w:val="none" w:sz="0" w:space="0" w:color="auto"/>
            <w:left w:val="none" w:sz="0" w:space="0" w:color="auto"/>
            <w:bottom w:val="none" w:sz="0" w:space="0" w:color="auto"/>
            <w:right w:val="none" w:sz="0" w:space="0" w:color="auto"/>
          </w:divBdr>
        </w:div>
        <w:div w:id="1166166413">
          <w:marLeft w:val="0"/>
          <w:marRight w:val="0"/>
          <w:marTop w:val="0"/>
          <w:marBottom w:val="0"/>
          <w:divBdr>
            <w:top w:val="none" w:sz="0" w:space="0" w:color="auto"/>
            <w:left w:val="none" w:sz="0" w:space="0" w:color="auto"/>
            <w:bottom w:val="none" w:sz="0" w:space="0" w:color="auto"/>
            <w:right w:val="none" w:sz="0" w:space="0" w:color="auto"/>
          </w:divBdr>
        </w:div>
        <w:div w:id="1246840636">
          <w:marLeft w:val="0"/>
          <w:marRight w:val="0"/>
          <w:marTop w:val="0"/>
          <w:marBottom w:val="0"/>
          <w:divBdr>
            <w:top w:val="none" w:sz="0" w:space="0" w:color="auto"/>
            <w:left w:val="none" w:sz="0" w:space="0" w:color="auto"/>
            <w:bottom w:val="none" w:sz="0" w:space="0" w:color="auto"/>
            <w:right w:val="none" w:sz="0" w:space="0" w:color="auto"/>
          </w:divBdr>
        </w:div>
        <w:div w:id="1877809222">
          <w:marLeft w:val="0"/>
          <w:marRight w:val="0"/>
          <w:marTop w:val="0"/>
          <w:marBottom w:val="0"/>
          <w:divBdr>
            <w:top w:val="none" w:sz="0" w:space="0" w:color="auto"/>
            <w:left w:val="none" w:sz="0" w:space="0" w:color="auto"/>
            <w:bottom w:val="none" w:sz="0" w:space="0" w:color="auto"/>
            <w:right w:val="none" w:sz="0" w:space="0" w:color="auto"/>
          </w:divBdr>
        </w:div>
        <w:div w:id="1347052734">
          <w:marLeft w:val="0"/>
          <w:marRight w:val="0"/>
          <w:marTop w:val="0"/>
          <w:marBottom w:val="0"/>
          <w:divBdr>
            <w:top w:val="none" w:sz="0" w:space="0" w:color="auto"/>
            <w:left w:val="none" w:sz="0" w:space="0" w:color="auto"/>
            <w:bottom w:val="none" w:sz="0" w:space="0" w:color="auto"/>
            <w:right w:val="none" w:sz="0" w:space="0" w:color="auto"/>
          </w:divBdr>
        </w:div>
      </w:divsChild>
    </w:div>
    <w:div w:id="1827700111">
      <w:bodyDiv w:val="1"/>
      <w:marLeft w:val="0"/>
      <w:marRight w:val="0"/>
      <w:marTop w:val="0"/>
      <w:marBottom w:val="0"/>
      <w:divBdr>
        <w:top w:val="none" w:sz="0" w:space="0" w:color="auto"/>
        <w:left w:val="none" w:sz="0" w:space="0" w:color="auto"/>
        <w:bottom w:val="none" w:sz="0" w:space="0" w:color="auto"/>
        <w:right w:val="none" w:sz="0" w:space="0" w:color="auto"/>
      </w:divBdr>
    </w:div>
    <w:div w:id="1975676671">
      <w:bodyDiv w:val="1"/>
      <w:marLeft w:val="0"/>
      <w:marRight w:val="0"/>
      <w:marTop w:val="0"/>
      <w:marBottom w:val="0"/>
      <w:divBdr>
        <w:top w:val="none" w:sz="0" w:space="0" w:color="auto"/>
        <w:left w:val="none" w:sz="0" w:space="0" w:color="auto"/>
        <w:bottom w:val="none" w:sz="0" w:space="0" w:color="auto"/>
        <w:right w:val="none" w:sz="0" w:space="0" w:color="auto"/>
      </w:divBdr>
      <w:divsChild>
        <w:div w:id="1133864352">
          <w:marLeft w:val="0"/>
          <w:marRight w:val="0"/>
          <w:marTop w:val="0"/>
          <w:marBottom w:val="0"/>
          <w:divBdr>
            <w:top w:val="none" w:sz="0" w:space="0" w:color="auto"/>
            <w:left w:val="none" w:sz="0" w:space="0" w:color="auto"/>
            <w:bottom w:val="none" w:sz="0" w:space="0" w:color="auto"/>
            <w:right w:val="none" w:sz="0" w:space="0" w:color="auto"/>
          </w:divBdr>
          <w:divsChild>
            <w:div w:id="58748764">
              <w:marLeft w:val="0"/>
              <w:marRight w:val="0"/>
              <w:marTop w:val="30"/>
              <w:marBottom w:val="30"/>
              <w:divBdr>
                <w:top w:val="none" w:sz="0" w:space="0" w:color="auto"/>
                <w:left w:val="none" w:sz="0" w:space="0" w:color="auto"/>
                <w:bottom w:val="none" w:sz="0" w:space="0" w:color="auto"/>
                <w:right w:val="none" w:sz="0" w:space="0" w:color="auto"/>
              </w:divBdr>
              <w:divsChild>
                <w:div w:id="27685765">
                  <w:marLeft w:val="0"/>
                  <w:marRight w:val="0"/>
                  <w:marTop w:val="0"/>
                  <w:marBottom w:val="0"/>
                  <w:divBdr>
                    <w:top w:val="none" w:sz="0" w:space="0" w:color="auto"/>
                    <w:left w:val="none" w:sz="0" w:space="0" w:color="auto"/>
                    <w:bottom w:val="none" w:sz="0" w:space="0" w:color="auto"/>
                    <w:right w:val="none" w:sz="0" w:space="0" w:color="auto"/>
                  </w:divBdr>
                  <w:divsChild>
                    <w:div w:id="32341955">
                      <w:marLeft w:val="0"/>
                      <w:marRight w:val="0"/>
                      <w:marTop w:val="0"/>
                      <w:marBottom w:val="0"/>
                      <w:divBdr>
                        <w:top w:val="none" w:sz="0" w:space="0" w:color="auto"/>
                        <w:left w:val="none" w:sz="0" w:space="0" w:color="auto"/>
                        <w:bottom w:val="none" w:sz="0" w:space="0" w:color="auto"/>
                        <w:right w:val="none" w:sz="0" w:space="0" w:color="auto"/>
                      </w:divBdr>
                    </w:div>
                  </w:divsChild>
                </w:div>
                <w:div w:id="63794201">
                  <w:marLeft w:val="0"/>
                  <w:marRight w:val="0"/>
                  <w:marTop w:val="0"/>
                  <w:marBottom w:val="0"/>
                  <w:divBdr>
                    <w:top w:val="none" w:sz="0" w:space="0" w:color="auto"/>
                    <w:left w:val="none" w:sz="0" w:space="0" w:color="auto"/>
                    <w:bottom w:val="none" w:sz="0" w:space="0" w:color="auto"/>
                    <w:right w:val="none" w:sz="0" w:space="0" w:color="auto"/>
                  </w:divBdr>
                  <w:divsChild>
                    <w:div w:id="624390275">
                      <w:marLeft w:val="0"/>
                      <w:marRight w:val="0"/>
                      <w:marTop w:val="0"/>
                      <w:marBottom w:val="0"/>
                      <w:divBdr>
                        <w:top w:val="none" w:sz="0" w:space="0" w:color="auto"/>
                        <w:left w:val="none" w:sz="0" w:space="0" w:color="auto"/>
                        <w:bottom w:val="none" w:sz="0" w:space="0" w:color="auto"/>
                        <w:right w:val="none" w:sz="0" w:space="0" w:color="auto"/>
                      </w:divBdr>
                    </w:div>
                  </w:divsChild>
                </w:div>
                <w:div w:id="83038869">
                  <w:marLeft w:val="0"/>
                  <w:marRight w:val="0"/>
                  <w:marTop w:val="0"/>
                  <w:marBottom w:val="0"/>
                  <w:divBdr>
                    <w:top w:val="none" w:sz="0" w:space="0" w:color="auto"/>
                    <w:left w:val="none" w:sz="0" w:space="0" w:color="auto"/>
                    <w:bottom w:val="none" w:sz="0" w:space="0" w:color="auto"/>
                    <w:right w:val="none" w:sz="0" w:space="0" w:color="auto"/>
                  </w:divBdr>
                  <w:divsChild>
                    <w:div w:id="365377210">
                      <w:marLeft w:val="0"/>
                      <w:marRight w:val="0"/>
                      <w:marTop w:val="0"/>
                      <w:marBottom w:val="0"/>
                      <w:divBdr>
                        <w:top w:val="none" w:sz="0" w:space="0" w:color="auto"/>
                        <w:left w:val="none" w:sz="0" w:space="0" w:color="auto"/>
                        <w:bottom w:val="none" w:sz="0" w:space="0" w:color="auto"/>
                        <w:right w:val="none" w:sz="0" w:space="0" w:color="auto"/>
                      </w:divBdr>
                    </w:div>
                  </w:divsChild>
                </w:div>
                <w:div w:id="104471286">
                  <w:marLeft w:val="0"/>
                  <w:marRight w:val="0"/>
                  <w:marTop w:val="0"/>
                  <w:marBottom w:val="0"/>
                  <w:divBdr>
                    <w:top w:val="none" w:sz="0" w:space="0" w:color="auto"/>
                    <w:left w:val="none" w:sz="0" w:space="0" w:color="auto"/>
                    <w:bottom w:val="none" w:sz="0" w:space="0" w:color="auto"/>
                    <w:right w:val="none" w:sz="0" w:space="0" w:color="auto"/>
                  </w:divBdr>
                  <w:divsChild>
                    <w:div w:id="1363899650">
                      <w:marLeft w:val="0"/>
                      <w:marRight w:val="0"/>
                      <w:marTop w:val="0"/>
                      <w:marBottom w:val="0"/>
                      <w:divBdr>
                        <w:top w:val="none" w:sz="0" w:space="0" w:color="auto"/>
                        <w:left w:val="none" w:sz="0" w:space="0" w:color="auto"/>
                        <w:bottom w:val="none" w:sz="0" w:space="0" w:color="auto"/>
                        <w:right w:val="none" w:sz="0" w:space="0" w:color="auto"/>
                      </w:divBdr>
                    </w:div>
                  </w:divsChild>
                </w:div>
                <w:div w:id="199902265">
                  <w:marLeft w:val="0"/>
                  <w:marRight w:val="0"/>
                  <w:marTop w:val="0"/>
                  <w:marBottom w:val="0"/>
                  <w:divBdr>
                    <w:top w:val="none" w:sz="0" w:space="0" w:color="auto"/>
                    <w:left w:val="none" w:sz="0" w:space="0" w:color="auto"/>
                    <w:bottom w:val="none" w:sz="0" w:space="0" w:color="auto"/>
                    <w:right w:val="none" w:sz="0" w:space="0" w:color="auto"/>
                  </w:divBdr>
                  <w:divsChild>
                    <w:div w:id="1848985402">
                      <w:marLeft w:val="0"/>
                      <w:marRight w:val="0"/>
                      <w:marTop w:val="0"/>
                      <w:marBottom w:val="0"/>
                      <w:divBdr>
                        <w:top w:val="none" w:sz="0" w:space="0" w:color="auto"/>
                        <w:left w:val="none" w:sz="0" w:space="0" w:color="auto"/>
                        <w:bottom w:val="none" w:sz="0" w:space="0" w:color="auto"/>
                        <w:right w:val="none" w:sz="0" w:space="0" w:color="auto"/>
                      </w:divBdr>
                    </w:div>
                  </w:divsChild>
                </w:div>
                <w:div w:id="378280828">
                  <w:marLeft w:val="0"/>
                  <w:marRight w:val="0"/>
                  <w:marTop w:val="0"/>
                  <w:marBottom w:val="0"/>
                  <w:divBdr>
                    <w:top w:val="none" w:sz="0" w:space="0" w:color="auto"/>
                    <w:left w:val="none" w:sz="0" w:space="0" w:color="auto"/>
                    <w:bottom w:val="none" w:sz="0" w:space="0" w:color="auto"/>
                    <w:right w:val="none" w:sz="0" w:space="0" w:color="auto"/>
                  </w:divBdr>
                  <w:divsChild>
                    <w:div w:id="1566793388">
                      <w:marLeft w:val="0"/>
                      <w:marRight w:val="0"/>
                      <w:marTop w:val="0"/>
                      <w:marBottom w:val="0"/>
                      <w:divBdr>
                        <w:top w:val="none" w:sz="0" w:space="0" w:color="auto"/>
                        <w:left w:val="none" w:sz="0" w:space="0" w:color="auto"/>
                        <w:bottom w:val="none" w:sz="0" w:space="0" w:color="auto"/>
                        <w:right w:val="none" w:sz="0" w:space="0" w:color="auto"/>
                      </w:divBdr>
                    </w:div>
                  </w:divsChild>
                </w:div>
                <w:div w:id="408697356">
                  <w:marLeft w:val="0"/>
                  <w:marRight w:val="0"/>
                  <w:marTop w:val="0"/>
                  <w:marBottom w:val="0"/>
                  <w:divBdr>
                    <w:top w:val="none" w:sz="0" w:space="0" w:color="auto"/>
                    <w:left w:val="none" w:sz="0" w:space="0" w:color="auto"/>
                    <w:bottom w:val="none" w:sz="0" w:space="0" w:color="auto"/>
                    <w:right w:val="none" w:sz="0" w:space="0" w:color="auto"/>
                  </w:divBdr>
                  <w:divsChild>
                    <w:div w:id="922379405">
                      <w:marLeft w:val="0"/>
                      <w:marRight w:val="0"/>
                      <w:marTop w:val="0"/>
                      <w:marBottom w:val="0"/>
                      <w:divBdr>
                        <w:top w:val="none" w:sz="0" w:space="0" w:color="auto"/>
                        <w:left w:val="none" w:sz="0" w:space="0" w:color="auto"/>
                        <w:bottom w:val="none" w:sz="0" w:space="0" w:color="auto"/>
                        <w:right w:val="none" w:sz="0" w:space="0" w:color="auto"/>
                      </w:divBdr>
                    </w:div>
                  </w:divsChild>
                </w:div>
                <w:div w:id="435561480">
                  <w:marLeft w:val="0"/>
                  <w:marRight w:val="0"/>
                  <w:marTop w:val="0"/>
                  <w:marBottom w:val="0"/>
                  <w:divBdr>
                    <w:top w:val="none" w:sz="0" w:space="0" w:color="auto"/>
                    <w:left w:val="none" w:sz="0" w:space="0" w:color="auto"/>
                    <w:bottom w:val="none" w:sz="0" w:space="0" w:color="auto"/>
                    <w:right w:val="none" w:sz="0" w:space="0" w:color="auto"/>
                  </w:divBdr>
                  <w:divsChild>
                    <w:div w:id="1094013998">
                      <w:marLeft w:val="0"/>
                      <w:marRight w:val="0"/>
                      <w:marTop w:val="0"/>
                      <w:marBottom w:val="0"/>
                      <w:divBdr>
                        <w:top w:val="none" w:sz="0" w:space="0" w:color="auto"/>
                        <w:left w:val="none" w:sz="0" w:space="0" w:color="auto"/>
                        <w:bottom w:val="none" w:sz="0" w:space="0" w:color="auto"/>
                        <w:right w:val="none" w:sz="0" w:space="0" w:color="auto"/>
                      </w:divBdr>
                    </w:div>
                  </w:divsChild>
                </w:div>
                <w:div w:id="622226520">
                  <w:marLeft w:val="0"/>
                  <w:marRight w:val="0"/>
                  <w:marTop w:val="0"/>
                  <w:marBottom w:val="0"/>
                  <w:divBdr>
                    <w:top w:val="none" w:sz="0" w:space="0" w:color="auto"/>
                    <w:left w:val="none" w:sz="0" w:space="0" w:color="auto"/>
                    <w:bottom w:val="none" w:sz="0" w:space="0" w:color="auto"/>
                    <w:right w:val="none" w:sz="0" w:space="0" w:color="auto"/>
                  </w:divBdr>
                  <w:divsChild>
                    <w:div w:id="658070932">
                      <w:marLeft w:val="0"/>
                      <w:marRight w:val="0"/>
                      <w:marTop w:val="0"/>
                      <w:marBottom w:val="0"/>
                      <w:divBdr>
                        <w:top w:val="none" w:sz="0" w:space="0" w:color="auto"/>
                        <w:left w:val="none" w:sz="0" w:space="0" w:color="auto"/>
                        <w:bottom w:val="none" w:sz="0" w:space="0" w:color="auto"/>
                        <w:right w:val="none" w:sz="0" w:space="0" w:color="auto"/>
                      </w:divBdr>
                    </w:div>
                  </w:divsChild>
                </w:div>
                <w:div w:id="877592811">
                  <w:marLeft w:val="0"/>
                  <w:marRight w:val="0"/>
                  <w:marTop w:val="0"/>
                  <w:marBottom w:val="0"/>
                  <w:divBdr>
                    <w:top w:val="none" w:sz="0" w:space="0" w:color="auto"/>
                    <w:left w:val="none" w:sz="0" w:space="0" w:color="auto"/>
                    <w:bottom w:val="none" w:sz="0" w:space="0" w:color="auto"/>
                    <w:right w:val="none" w:sz="0" w:space="0" w:color="auto"/>
                  </w:divBdr>
                  <w:divsChild>
                    <w:div w:id="1416588330">
                      <w:marLeft w:val="0"/>
                      <w:marRight w:val="0"/>
                      <w:marTop w:val="0"/>
                      <w:marBottom w:val="0"/>
                      <w:divBdr>
                        <w:top w:val="none" w:sz="0" w:space="0" w:color="auto"/>
                        <w:left w:val="none" w:sz="0" w:space="0" w:color="auto"/>
                        <w:bottom w:val="none" w:sz="0" w:space="0" w:color="auto"/>
                        <w:right w:val="none" w:sz="0" w:space="0" w:color="auto"/>
                      </w:divBdr>
                    </w:div>
                  </w:divsChild>
                </w:div>
                <w:div w:id="934554838">
                  <w:marLeft w:val="0"/>
                  <w:marRight w:val="0"/>
                  <w:marTop w:val="0"/>
                  <w:marBottom w:val="0"/>
                  <w:divBdr>
                    <w:top w:val="none" w:sz="0" w:space="0" w:color="auto"/>
                    <w:left w:val="none" w:sz="0" w:space="0" w:color="auto"/>
                    <w:bottom w:val="none" w:sz="0" w:space="0" w:color="auto"/>
                    <w:right w:val="none" w:sz="0" w:space="0" w:color="auto"/>
                  </w:divBdr>
                  <w:divsChild>
                    <w:div w:id="1042749670">
                      <w:marLeft w:val="0"/>
                      <w:marRight w:val="0"/>
                      <w:marTop w:val="0"/>
                      <w:marBottom w:val="0"/>
                      <w:divBdr>
                        <w:top w:val="none" w:sz="0" w:space="0" w:color="auto"/>
                        <w:left w:val="none" w:sz="0" w:space="0" w:color="auto"/>
                        <w:bottom w:val="none" w:sz="0" w:space="0" w:color="auto"/>
                        <w:right w:val="none" w:sz="0" w:space="0" w:color="auto"/>
                      </w:divBdr>
                    </w:div>
                  </w:divsChild>
                </w:div>
                <w:div w:id="947152631">
                  <w:marLeft w:val="0"/>
                  <w:marRight w:val="0"/>
                  <w:marTop w:val="0"/>
                  <w:marBottom w:val="0"/>
                  <w:divBdr>
                    <w:top w:val="none" w:sz="0" w:space="0" w:color="auto"/>
                    <w:left w:val="none" w:sz="0" w:space="0" w:color="auto"/>
                    <w:bottom w:val="none" w:sz="0" w:space="0" w:color="auto"/>
                    <w:right w:val="none" w:sz="0" w:space="0" w:color="auto"/>
                  </w:divBdr>
                  <w:divsChild>
                    <w:div w:id="1589923540">
                      <w:marLeft w:val="0"/>
                      <w:marRight w:val="0"/>
                      <w:marTop w:val="0"/>
                      <w:marBottom w:val="0"/>
                      <w:divBdr>
                        <w:top w:val="none" w:sz="0" w:space="0" w:color="auto"/>
                        <w:left w:val="none" w:sz="0" w:space="0" w:color="auto"/>
                        <w:bottom w:val="none" w:sz="0" w:space="0" w:color="auto"/>
                        <w:right w:val="none" w:sz="0" w:space="0" w:color="auto"/>
                      </w:divBdr>
                    </w:div>
                  </w:divsChild>
                </w:div>
                <w:div w:id="1068309695">
                  <w:marLeft w:val="0"/>
                  <w:marRight w:val="0"/>
                  <w:marTop w:val="0"/>
                  <w:marBottom w:val="0"/>
                  <w:divBdr>
                    <w:top w:val="none" w:sz="0" w:space="0" w:color="auto"/>
                    <w:left w:val="none" w:sz="0" w:space="0" w:color="auto"/>
                    <w:bottom w:val="none" w:sz="0" w:space="0" w:color="auto"/>
                    <w:right w:val="none" w:sz="0" w:space="0" w:color="auto"/>
                  </w:divBdr>
                  <w:divsChild>
                    <w:div w:id="666791882">
                      <w:marLeft w:val="0"/>
                      <w:marRight w:val="0"/>
                      <w:marTop w:val="0"/>
                      <w:marBottom w:val="0"/>
                      <w:divBdr>
                        <w:top w:val="none" w:sz="0" w:space="0" w:color="auto"/>
                        <w:left w:val="none" w:sz="0" w:space="0" w:color="auto"/>
                        <w:bottom w:val="none" w:sz="0" w:space="0" w:color="auto"/>
                        <w:right w:val="none" w:sz="0" w:space="0" w:color="auto"/>
                      </w:divBdr>
                    </w:div>
                  </w:divsChild>
                </w:div>
                <w:div w:id="1078869123">
                  <w:marLeft w:val="0"/>
                  <w:marRight w:val="0"/>
                  <w:marTop w:val="0"/>
                  <w:marBottom w:val="0"/>
                  <w:divBdr>
                    <w:top w:val="none" w:sz="0" w:space="0" w:color="auto"/>
                    <w:left w:val="none" w:sz="0" w:space="0" w:color="auto"/>
                    <w:bottom w:val="none" w:sz="0" w:space="0" w:color="auto"/>
                    <w:right w:val="none" w:sz="0" w:space="0" w:color="auto"/>
                  </w:divBdr>
                  <w:divsChild>
                    <w:div w:id="1301034863">
                      <w:marLeft w:val="0"/>
                      <w:marRight w:val="0"/>
                      <w:marTop w:val="0"/>
                      <w:marBottom w:val="0"/>
                      <w:divBdr>
                        <w:top w:val="none" w:sz="0" w:space="0" w:color="auto"/>
                        <w:left w:val="none" w:sz="0" w:space="0" w:color="auto"/>
                        <w:bottom w:val="none" w:sz="0" w:space="0" w:color="auto"/>
                        <w:right w:val="none" w:sz="0" w:space="0" w:color="auto"/>
                      </w:divBdr>
                    </w:div>
                  </w:divsChild>
                </w:div>
                <w:div w:id="1092625762">
                  <w:marLeft w:val="0"/>
                  <w:marRight w:val="0"/>
                  <w:marTop w:val="0"/>
                  <w:marBottom w:val="0"/>
                  <w:divBdr>
                    <w:top w:val="none" w:sz="0" w:space="0" w:color="auto"/>
                    <w:left w:val="none" w:sz="0" w:space="0" w:color="auto"/>
                    <w:bottom w:val="none" w:sz="0" w:space="0" w:color="auto"/>
                    <w:right w:val="none" w:sz="0" w:space="0" w:color="auto"/>
                  </w:divBdr>
                  <w:divsChild>
                    <w:div w:id="447360385">
                      <w:marLeft w:val="0"/>
                      <w:marRight w:val="0"/>
                      <w:marTop w:val="0"/>
                      <w:marBottom w:val="0"/>
                      <w:divBdr>
                        <w:top w:val="none" w:sz="0" w:space="0" w:color="auto"/>
                        <w:left w:val="none" w:sz="0" w:space="0" w:color="auto"/>
                        <w:bottom w:val="none" w:sz="0" w:space="0" w:color="auto"/>
                        <w:right w:val="none" w:sz="0" w:space="0" w:color="auto"/>
                      </w:divBdr>
                    </w:div>
                  </w:divsChild>
                </w:div>
                <w:div w:id="1116489235">
                  <w:marLeft w:val="0"/>
                  <w:marRight w:val="0"/>
                  <w:marTop w:val="0"/>
                  <w:marBottom w:val="0"/>
                  <w:divBdr>
                    <w:top w:val="none" w:sz="0" w:space="0" w:color="auto"/>
                    <w:left w:val="none" w:sz="0" w:space="0" w:color="auto"/>
                    <w:bottom w:val="none" w:sz="0" w:space="0" w:color="auto"/>
                    <w:right w:val="none" w:sz="0" w:space="0" w:color="auto"/>
                  </w:divBdr>
                  <w:divsChild>
                    <w:div w:id="2066029545">
                      <w:marLeft w:val="0"/>
                      <w:marRight w:val="0"/>
                      <w:marTop w:val="0"/>
                      <w:marBottom w:val="0"/>
                      <w:divBdr>
                        <w:top w:val="none" w:sz="0" w:space="0" w:color="auto"/>
                        <w:left w:val="none" w:sz="0" w:space="0" w:color="auto"/>
                        <w:bottom w:val="none" w:sz="0" w:space="0" w:color="auto"/>
                        <w:right w:val="none" w:sz="0" w:space="0" w:color="auto"/>
                      </w:divBdr>
                    </w:div>
                  </w:divsChild>
                </w:div>
                <w:div w:id="1156535393">
                  <w:marLeft w:val="0"/>
                  <w:marRight w:val="0"/>
                  <w:marTop w:val="0"/>
                  <w:marBottom w:val="0"/>
                  <w:divBdr>
                    <w:top w:val="none" w:sz="0" w:space="0" w:color="auto"/>
                    <w:left w:val="none" w:sz="0" w:space="0" w:color="auto"/>
                    <w:bottom w:val="none" w:sz="0" w:space="0" w:color="auto"/>
                    <w:right w:val="none" w:sz="0" w:space="0" w:color="auto"/>
                  </w:divBdr>
                  <w:divsChild>
                    <w:div w:id="432826701">
                      <w:marLeft w:val="0"/>
                      <w:marRight w:val="0"/>
                      <w:marTop w:val="0"/>
                      <w:marBottom w:val="0"/>
                      <w:divBdr>
                        <w:top w:val="none" w:sz="0" w:space="0" w:color="auto"/>
                        <w:left w:val="none" w:sz="0" w:space="0" w:color="auto"/>
                        <w:bottom w:val="none" w:sz="0" w:space="0" w:color="auto"/>
                        <w:right w:val="none" w:sz="0" w:space="0" w:color="auto"/>
                      </w:divBdr>
                    </w:div>
                  </w:divsChild>
                </w:div>
                <w:div w:id="1259750377">
                  <w:marLeft w:val="0"/>
                  <w:marRight w:val="0"/>
                  <w:marTop w:val="0"/>
                  <w:marBottom w:val="0"/>
                  <w:divBdr>
                    <w:top w:val="none" w:sz="0" w:space="0" w:color="auto"/>
                    <w:left w:val="none" w:sz="0" w:space="0" w:color="auto"/>
                    <w:bottom w:val="none" w:sz="0" w:space="0" w:color="auto"/>
                    <w:right w:val="none" w:sz="0" w:space="0" w:color="auto"/>
                  </w:divBdr>
                  <w:divsChild>
                    <w:div w:id="1572038578">
                      <w:marLeft w:val="0"/>
                      <w:marRight w:val="0"/>
                      <w:marTop w:val="0"/>
                      <w:marBottom w:val="0"/>
                      <w:divBdr>
                        <w:top w:val="none" w:sz="0" w:space="0" w:color="auto"/>
                        <w:left w:val="none" w:sz="0" w:space="0" w:color="auto"/>
                        <w:bottom w:val="none" w:sz="0" w:space="0" w:color="auto"/>
                        <w:right w:val="none" w:sz="0" w:space="0" w:color="auto"/>
                      </w:divBdr>
                    </w:div>
                  </w:divsChild>
                </w:div>
                <w:div w:id="1352338298">
                  <w:marLeft w:val="0"/>
                  <w:marRight w:val="0"/>
                  <w:marTop w:val="0"/>
                  <w:marBottom w:val="0"/>
                  <w:divBdr>
                    <w:top w:val="none" w:sz="0" w:space="0" w:color="auto"/>
                    <w:left w:val="none" w:sz="0" w:space="0" w:color="auto"/>
                    <w:bottom w:val="none" w:sz="0" w:space="0" w:color="auto"/>
                    <w:right w:val="none" w:sz="0" w:space="0" w:color="auto"/>
                  </w:divBdr>
                  <w:divsChild>
                    <w:div w:id="2136169187">
                      <w:marLeft w:val="0"/>
                      <w:marRight w:val="0"/>
                      <w:marTop w:val="0"/>
                      <w:marBottom w:val="0"/>
                      <w:divBdr>
                        <w:top w:val="none" w:sz="0" w:space="0" w:color="auto"/>
                        <w:left w:val="none" w:sz="0" w:space="0" w:color="auto"/>
                        <w:bottom w:val="none" w:sz="0" w:space="0" w:color="auto"/>
                        <w:right w:val="none" w:sz="0" w:space="0" w:color="auto"/>
                      </w:divBdr>
                    </w:div>
                  </w:divsChild>
                </w:div>
                <w:div w:id="1411348003">
                  <w:marLeft w:val="0"/>
                  <w:marRight w:val="0"/>
                  <w:marTop w:val="0"/>
                  <w:marBottom w:val="0"/>
                  <w:divBdr>
                    <w:top w:val="none" w:sz="0" w:space="0" w:color="auto"/>
                    <w:left w:val="none" w:sz="0" w:space="0" w:color="auto"/>
                    <w:bottom w:val="none" w:sz="0" w:space="0" w:color="auto"/>
                    <w:right w:val="none" w:sz="0" w:space="0" w:color="auto"/>
                  </w:divBdr>
                  <w:divsChild>
                    <w:div w:id="577861672">
                      <w:marLeft w:val="0"/>
                      <w:marRight w:val="0"/>
                      <w:marTop w:val="0"/>
                      <w:marBottom w:val="0"/>
                      <w:divBdr>
                        <w:top w:val="none" w:sz="0" w:space="0" w:color="auto"/>
                        <w:left w:val="none" w:sz="0" w:space="0" w:color="auto"/>
                        <w:bottom w:val="none" w:sz="0" w:space="0" w:color="auto"/>
                        <w:right w:val="none" w:sz="0" w:space="0" w:color="auto"/>
                      </w:divBdr>
                    </w:div>
                  </w:divsChild>
                </w:div>
                <w:div w:id="1553690075">
                  <w:marLeft w:val="0"/>
                  <w:marRight w:val="0"/>
                  <w:marTop w:val="0"/>
                  <w:marBottom w:val="0"/>
                  <w:divBdr>
                    <w:top w:val="none" w:sz="0" w:space="0" w:color="auto"/>
                    <w:left w:val="none" w:sz="0" w:space="0" w:color="auto"/>
                    <w:bottom w:val="none" w:sz="0" w:space="0" w:color="auto"/>
                    <w:right w:val="none" w:sz="0" w:space="0" w:color="auto"/>
                  </w:divBdr>
                  <w:divsChild>
                    <w:div w:id="1188104659">
                      <w:marLeft w:val="0"/>
                      <w:marRight w:val="0"/>
                      <w:marTop w:val="0"/>
                      <w:marBottom w:val="0"/>
                      <w:divBdr>
                        <w:top w:val="none" w:sz="0" w:space="0" w:color="auto"/>
                        <w:left w:val="none" w:sz="0" w:space="0" w:color="auto"/>
                        <w:bottom w:val="none" w:sz="0" w:space="0" w:color="auto"/>
                        <w:right w:val="none" w:sz="0" w:space="0" w:color="auto"/>
                      </w:divBdr>
                    </w:div>
                  </w:divsChild>
                </w:div>
                <w:div w:id="1810895531">
                  <w:marLeft w:val="0"/>
                  <w:marRight w:val="0"/>
                  <w:marTop w:val="0"/>
                  <w:marBottom w:val="0"/>
                  <w:divBdr>
                    <w:top w:val="none" w:sz="0" w:space="0" w:color="auto"/>
                    <w:left w:val="none" w:sz="0" w:space="0" w:color="auto"/>
                    <w:bottom w:val="none" w:sz="0" w:space="0" w:color="auto"/>
                    <w:right w:val="none" w:sz="0" w:space="0" w:color="auto"/>
                  </w:divBdr>
                  <w:divsChild>
                    <w:div w:id="1009260999">
                      <w:marLeft w:val="0"/>
                      <w:marRight w:val="0"/>
                      <w:marTop w:val="0"/>
                      <w:marBottom w:val="0"/>
                      <w:divBdr>
                        <w:top w:val="none" w:sz="0" w:space="0" w:color="auto"/>
                        <w:left w:val="none" w:sz="0" w:space="0" w:color="auto"/>
                        <w:bottom w:val="none" w:sz="0" w:space="0" w:color="auto"/>
                        <w:right w:val="none" w:sz="0" w:space="0" w:color="auto"/>
                      </w:divBdr>
                    </w:div>
                  </w:divsChild>
                </w:div>
                <w:div w:id="1949461714">
                  <w:marLeft w:val="0"/>
                  <w:marRight w:val="0"/>
                  <w:marTop w:val="0"/>
                  <w:marBottom w:val="0"/>
                  <w:divBdr>
                    <w:top w:val="none" w:sz="0" w:space="0" w:color="auto"/>
                    <w:left w:val="none" w:sz="0" w:space="0" w:color="auto"/>
                    <w:bottom w:val="none" w:sz="0" w:space="0" w:color="auto"/>
                    <w:right w:val="none" w:sz="0" w:space="0" w:color="auto"/>
                  </w:divBdr>
                  <w:divsChild>
                    <w:div w:id="1693334705">
                      <w:marLeft w:val="0"/>
                      <w:marRight w:val="0"/>
                      <w:marTop w:val="0"/>
                      <w:marBottom w:val="0"/>
                      <w:divBdr>
                        <w:top w:val="none" w:sz="0" w:space="0" w:color="auto"/>
                        <w:left w:val="none" w:sz="0" w:space="0" w:color="auto"/>
                        <w:bottom w:val="none" w:sz="0" w:space="0" w:color="auto"/>
                        <w:right w:val="none" w:sz="0" w:space="0" w:color="auto"/>
                      </w:divBdr>
                    </w:div>
                  </w:divsChild>
                </w:div>
                <w:div w:id="2069958235">
                  <w:marLeft w:val="0"/>
                  <w:marRight w:val="0"/>
                  <w:marTop w:val="0"/>
                  <w:marBottom w:val="0"/>
                  <w:divBdr>
                    <w:top w:val="none" w:sz="0" w:space="0" w:color="auto"/>
                    <w:left w:val="none" w:sz="0" w:space="0" w:color="auto"/>
                    <w:bottom w:val="none" w:sz="0" w:space="0" w:color="auto"/>
                    <w:right w:val="none" w:sz="0" w:space="0" w:color="auto"/>
                  </w:divBdr>
                  <w:divsChild>
                    <w:div w:id="17400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953">
          <w:marLeft w:val="0"/>
          <w:marRight w:val="0"/>
          <w:marTop w:val="0"/>
          <w:marBottom w:val="0"/>
          <w:divBdr>
            <w:top w:val="none" w:sz="0" w:space="0" w:color="auto"/>
            <w:left w:val="none" w:sz="0" w:space="0" w:color="auto"/>
            <w:bottom w:val="none" w:sz="0" w:space="0" w:color="auto"/>
            <w:right w:val="none" w:sz="0" w:space="0" w:color="auto"/>
          </w:divBdr>
        </w:div>
      </w:divsChild>
    </w:div>
    <w:div w:id="206001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oah.org/en/what-we-offer/expertise-network/reference-labora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SharedWithUsers xmlns="0725ab1f-942d-4dac-877f-91695486d0b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b6cf7341dd65d6054dd04c4b9d3eaad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140a5c7713a283433455c2da9a1f0e"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F64E9-2653-4614-9B36-66CA9A383122}">
  <ds:schemaRefs>
    <ds:schemaRef ds:uri="http://schemas.microsoft.com/sharepoint/v3/contenttype/forms"/>
  </ds:schemaRefs>
</ds:datastoreItem>
</file>

<file path=customXml/itemProps2.xml><?xml version="1.0" encoding="utf-8"?>
<ds:datastoreItem xmlns:ds="http://schemas.openxmlformats.org/officeDocument/2006/customXml" ds:itemID="{F567FFD4-CD79-4791-8BCE-1888E63F210E}">
  <ds:schemaRefs>
    <ds:schemaRef ds:uri="http://purl.org/dc/dcmitype/"/>
    <ds:schemaRef ds:uri="http://schemas.microsoft.com/office/2006/documentManagement/types"/>
    <ds:schemaRef ds:uri="http://schemas.microsoft.com/office/infopath/2007/PartnerControls"/>
    <ds:schemaRef ds:uri="40788588-e8a6-40a9-ad72-2a1f88b3a8d9"/>
    <ds:schemaRef ds:uri="cf7e110e-f150-4932-adc0-a307b187293b"/>
    <ds:schemaRef ds:uri="http://schemas.openxmlformats.org/package/2006/metadata/core-properties"/>
    <ds:schemaRef ds:uri="http://purl.org/dc/elements/1.1/"/>
    <ds:schemaRef ds:uri="73fb875a-8af9-4255-b008-0995492d31c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5D40892-24B8-496D-8A68-35BA4A371B94}">
  <ds:schemaRefs>
    <ds:schemaRef ds:uri="http://schemas.openxmlformats.org/officeDocument/2006/bibliography"/>
  </ds:schemaRefs>
</ds:datastoreItem>
</file>

<file path=customXml/itemProps4.xml><?xml version="1.0" encoding="utf-8"?>
<ds:datastoreItem xmlns:ds="http://schemas.openxmlformats.org/officeDocument/2006/customXml" ds:itemID="{5E331922-D756-427C-80BC-49CCE4371981}"/>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5472</Words>
  <Characters>31191</Characters>
  <Application>Microsoft Office Word</Application>
  <DocSecurity>0</DocSecurity>
  <Lines>259</Lines>
  <Paragraphs>73</Paragraphs>
  <ScaleCrop>false</ScaleCrop>
  <Company/>
  <LinksUpToDate>false</LinksUpToDate>
  <CharactersWithSpaces>36590</CharactersWithSpaces>
  <SharedDoc>false</SharedDoc>
  <HLinks>
    <vt:vector size="12" baseType="variant">
      <vt:variant>
        <vt:i4>196693</vt:i4>
      </vt:variant>
      <vt:variant>
        <vt:i4>3</vt:i4>
      </vt:variant>
      <vt:variant>
        <vt:i4>0</vt:i4>
      </vt:variant>
      <vt:variant>
        <vt:i4>5</vt:i4>
      </vt:variant>
      <vt:variant>
        <vt:lpwstr>https://www.woah.org/en/what-we-offer/expertise-network/reference-laboratories/</vt:lpwstr>
      </vt:variant>
      <vt:variant>
        <vt:lpwstr>ui-id-3</vt:lpwstr>
      </vt:variant>
      <vt:variant>
        <vt:i4>3997734</vt:i4>
      </vt:variant>
      <vt:variant>
        <vt:i4>0</vt:i4>
      </vt:variant>
      <vt:variant>
        <vt:i4>0</vt:i4>
      </vt:variant>
      <vt:variant>
        <vt:i4>5</vt:i4>
      </vt:variant>
      <vt:variant>
        <vt:lpwstr>https://wahis.woah.org/</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Linnane</dc:creator>
  <cp:keywords/>
  <dc:description/>
  <cp:lastModifiedBy>Marston, Alicia - MRP-APHIS</cp:lastModifiedBy>
  <cp:revision>2</cp:revision>
  <dcterms:created xsi:type="dcterms:W3CDTF">2025-06-30T15:43:00Z</dcterms:created>
  <dcterms:modified xsi:type="dcterms:W3CDTF">2025-06-30T15:43:00Z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MSIP_Label_6606a7e6-00e2-437a-9fc9-1713c4a242a4_Enabled">
    <vt:lpwstr>true</vt:lpwstr>
  </property>
  <property fmtid="{D5CDD505-2E9C-101B-9397-08002B2CF9AE}" pid="5" name="MSIP_Label_6606a7e6-00e2-437a-9fc9-1713c4a242a4_SetDate">
    <vt:lpwstr>2025-02-19T08:35:30Z</vt:lpwstr>
  </property>
  <property fmtid="{D5CDD505-2E9C-101B-9397-08002B2CF9AE}" pid="6" name="MSIP_Label_6606a7e6-00e2-437a-9fc9-1713c4a242a4_Method">
    <vt:lpwstr>Standard</vt:lpwstr>
  </property>
  <property fmtid="{D5CDD505-2E9C-101B-9397-08002B2CF9AE}" pid="7" name="MSIP_Label_6606a7e6-00e2-437a-9fc9-1713c4a242a4_Name">
    <vt:lpwstr>C1 - RESTREINT</vt:lpwstr>
  </property>
  <property fmtid="{D5CDD505-2E9C-101B-9397-08002B2CF9AE}" pid="8" name="MSIP_Label_6606a7e6-00e2-437a-9fc9-1713c4a242a4_SiteId">
    <vt:lpwstr>f1faf563-b06d-4c35-8739-34ccc280dcaf</vt:lpwstr>
  </property>
  <property fmtid="{D5CDD505-2E9C-101B-9397-08002B2CF9AE}" pid="9" name="MSIP_Label_6606a7e6-00e2-437a-9fc9-1713c4a242a4_ActionId">
    <vt:lpwstr>bb4e5a20-3873-4779-a646-2ea45d1b3c66</vt:lpwstr>
  </property>
  <property fmtid="{D5CDD505-2E9C-101B-9397-08002B2CF9AE}" pid="10" name="MSIP_Label_6606a7e6-00e2-437a-9fc9-1713c4a242a4_ContentBits">
    <vt:lpwstr>0</vt:lpwstr>
  </property>
  <property fmtid="{D5CDD505-2E9C-101B-9397-08002B2CF9AE}" pid="11" name="MSIP_Label_6606a7e6-00e2-437a-9fc9-1713c4a242a4_Tag">
    <vt:lpwstr>10, 3, 0, 2</vt:lpwstr>
  </property>
  <property fmtid="{D5CDD505-2E9C-101B-9397-08002B2CF9AE}" pid="12" name="Order">
    <vt:r8>336800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